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D" w:rsidRPr="00E45A83" w:rsidRDefault="0055223D" w:rsidP="0055223D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GoBack"/>
      <w:bookmarkEnd w:id="0"/>
      <w:r w:rsidRPr="00E45A83">
        <w:rPr>
          <w:rFonts w:asciiTheme="majorBidi" w:hAnsiTheme="majorBidi" w:cstheme="majorBidi"/>
          <w:b/>
          <w:bCs/>
          <w:color w:val="FF0000"/>
          <w:sz w:val="24"/>
          <w:szCs w:val="24"/>
        </w:rPr>
        <w:t>LES TROUBLES FONCTIONNELS DIGESTIFS :</w:t>
      </w:r>
    </w:p>
    <w:p w:rsidR="00123CAC" w:rsidRPr="00E45A83" w:rsidRDefault="0055223D" w:rsidP="00E45A83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45A83">
        <w:rPr>
          <w:rFonts w:asciiTheme="majorBidi" w:hAnsiTheme="majorBidi" w:cstheme="majorBidi"/>
          <w:b/>
          <w:bCs/>
          <w:color w:val="FF0000"/>
          <w:sz w:val="24"/>
          <w:szCs w:val="24"/>
        </w:rPr>
        <w:t>LES TROUBLES DE L’APPETIT</w:t>
      </w:r>
    </w:p>
    <w:p w:rsidR="0055223D" w:rsidRDefault="0055223D" w:rsidP="0055223D">
      <w:pPr>
        <w:rPr>
          <w:rFonts w:asciiTheme="majorBidi" w:hAnsiTheme="majorBidi" w:cstheme="majorBidi"/>
          <w:b/>
          <w:bCs/>
          <w:color w:val="FF0000"/>
        </w:rPr>
      </w:pPr>
    </w:p>
    <w:p w:rsidR="0055223D" w:rsidRPr="00A13613" w:rsidRDefault="00A13613" w:rsidP="00A13613">
      <w:pPr>
        <w:pStyle w:val="Paragraphedeliste"/>
        <w:spacing w:after="0" w:line="360" w:lineRule="auto"/>
        <w:ind w:left="108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136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INTRODUCTION :</w:t>
      </w:r>
    </w:p>
    <w:p w:rsidR="00367712" w:rsidRDefault="0055223D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 xml:space="preserve"> L’appareil digestif comprend le tube digestif de la bouche à la marge anale et les organes annexes (glandes salivaires, foie, voies biliaires et pancréas). </w:t>
      </w:r>
    </w:p>
    <w:p w:rsidR="00367712" w:rsidRDefault="0055223D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 xml:space="preserve">L’interrogatoire est le temps capital de l’examen du tube digestif, il permet l’analyse des troubles fonctionnels. </w:t>
      </w:r>
    </w:p>
    <w:p w:rsidR="004C0D0D" w:rsidRDefault="0055223D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Les troubles fonctionnels du tube digestif sont les troubles de l’appétit, les vomissements, la dysphagie, les</w:t>
      </w:r>
      <w:r w:rsidR="00367712">
        <w:rPr>
          <w:rFonts w:asciiTheme="majorBidi" w:hAnsiTheme="majorBidi" w:cstheme="majorBidi"/>
          <w:color w:val="000000" w:themeColor="text1"/>
        </w:rPr>
        <w:t xml:space="preserve"> troubles du transit intestinal</w:t>
      </w:r>
      <w:r w:rsidRPr="004C0D0D">
        <w:rPr>
          <w:rFonts w:asciiTheme="majorBidi" w:hAnsiTheme="majorBidi" w:cstheme="majorBidi"/>
          <w:color w:val="000000" w:themeColor="text1"/>
        </w:rPr>
        <w:t xml:space="preserve">, les douleurs abdominales et les hémorragies digestives. </w:t>
      </w:r>
    </w:p>
    <w:p w:rsidR="00D5257C" w:rsidRDefault="0055223D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Ce cours se limite au troubles de l’appétit</w:t>
      </w:r>
      <w:r w:rsidR="004C0D0D">
        <w:rPr>
          <w:rFonts w:asciiTheme="majorBidi" w:hAnsiTheme="majorBidi" w:cstheme="majorBidi"/>
          <w:color w:val="000000" w:themeColor="text1"/>
        </w:rPr>
        <w:t>.</w:t>
      </w:r>
    </w:p>
    <w:p w:rsidR="00A13613" w:rsidRPr="004C0D0D" w:rsidRDefault="00A13613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</w:p>
    <w:p w:rsidR="00D5257C" w:rsidRPr="004C0D0D" w:rsidRDefault="00D5257C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4C0D0D">
        <w:rPr>
          <w:rFonts w:asciiTheme="majorBidi" w:hAnsiTheme="majorBidi" w:cstheme="majorBidi"/>
          <w:b/>
          <w:bCs/>
          <w:color w:val="000000" w:themeColor="text1"/>
        </w:rPr>
        <w:t>A) ANOREXIE :</w:t>
      </w:r>
    </w:p>
    <w:p w:rsidR="00D5257C" w:rsidRPr="00A13613" w:rsidRDefault="00D5257C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 </w:t>
      </w:r>
      <w:r w:rsidRPr="00A13613">
        <w:rPr>
          <w:rFonts w:asciiTheme="majorBidi" w:hAnsiTheme="majorBidi" w:cstheme="majorBidi"/>
          <w:b/>
          <w:bCs/>
          <w:color w:val="000000" w:themeColor="text1"/>
        </w:rPr>
        <w:t>I. Définition :</w:t>
      </w:r>
    </w:p>
    <w:p w:rsidR="00D5257C" w:rsidRPr="004C0D0D" w:rsidRDefault="00D5257C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 xml:space="preserve">L’anorexie est la diminution ou la perte de l'appétit. </w:t>
      </w:r>
    </w:p>
    <w:p w:rsidR="00D5257C" w:rsidRPr="004C0D0D" w:rsidRDefault="00D5257C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Elle peut être globale : intéressant tous les aliments,</w:t>
      </w:r>
    </w:p>
    <w:p w:rsidR="00D5257C" w:rsidRPr="004C0D0D" w:rsidRDefault="00D5257C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 xml:space="preserve"> Ou élective : ne portant que sur certains aliments ; exemple : anorexie intéressant la viande et s'accompagnant souvent d'un dégoût du tabac au cours de l'hépatite virale. </w:t>
      </w:r>
    </w:p>
    <w:p w:rsidR="00D5257C" w:rsidRPr="00A13613" w:rsidRDefault="004C0D0D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</w:t>
      </w:r>
      <w:r w:rsidRPr="00A13613">
        <w:rPr>
          <w:rFonts w:asciiTheme="majorBidi" w:hAnsiTheme="majorBidi" w:cstheme="majorBidi"/>
          <w:b/>
          <w:bCs/>
          <w:color w:val="000000" w:themeColor="text1"/>
        </w:rPr>
        <w:t>II. étude sémiologique :</w:t>
      </w:r>
    </w:p>
    <w:p w:rsidR="00D5257C" w:rsidRPr="004C0D0D" w:rsidRDefault="00D5257C" w:rsidP="00A13613">
      <w:pPr>
        <w:pStyle w:val="Paragraphedeliste"/>
        <w:numPr>
          <w:ilvl w:val="0"/>
          <w:numId w:val="2"/>
        </w:numPr>
        <w:spacing w:after="0" w:line="360" w:lineRule="auto"/>
        <w:ind w:left="1068"/>
        <w:jc w:val="both"/>
        <w:rPr>
          <w:rFonts w:asciiTheme="majorBidi" w:hAnsiTheme="majorBidi" w:cstheme="majorBidi"/>
          <w:color w:val="000000" w:themeColor="text1"/>
        </w:rPr>
      </w:pPr>
      <w:r w:rsidRPr="00367712">
        <w:rPr>
          <w:rFonts w:asciiTheme="majorBidi" w:hAnsiTheme="majorBidi" w:cstheme="majorBidi"/>
          <w:b/>
          <w:bCs/>
          <w:color w:val="000000" w:themeColor="text1"/>
        </w:rPr>
        <w:t xml:space="preserve">L’interrogatoire </w:t>
      </w:r>
      <w:r w:rsidRPr="004C0D0D">
        <w:rPr>
          <w:rFonts w:asciiTheme="majorBidi" w:hAnsiTheme="majorBidi" w:cstheme="majorBidi"/>
          <w:color w:val="000000" w:themeColor="text1"/>
        </w:rPr>
        <w:t xml:space="preserve">: impression d’intolérance alimentaire. </w:t>
      </w:r>
    </w:p>
    <w:p w:rsidR="00D5257C" w:rsidRPr="004C0D0D" w:rsidRDefault="00D5257C" w:rsidP="00A13613">
      <w:pPr>
        <w:pStyle w:val="Paragraphedeliste"/>
        <w:spacing w:after="0" w:line="360" w:lineRule="auto"/>
        <w:ind w:left="1704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Déceler les signes associés : une fièvre, une asthénie, une toux, un vomissement…</w:t>
      </w:r>
    </w:p>
    <w:p w:rsidR="00D5257C" w:rsidRPr="004C0D0D" w:rsidRDefault="00D5257C" w:rsidP="00A13613">
      <w:pPr>
        <w:spacing w:after="0" w:line="360" w:lineRule="auto"/>
        <w:ind w:left="648"/>
        <w:jc w:val="both"/>
        <w:rPr>
          <w:rFonts w:asciiTheme="majorBidi" w:hAnsiTheme="majorBidi" w:cstheme="majorBidi"/>
          <w:color w:val="000000" w:themeColor="text1"/>
        </w:rPr>
      </w:pPr>
      <w:r w:rsidRPr="00367712">
        <w:rPr>
          <w:rFonts w:asciiTheme="majorBidi" w:hAnsiTheme="majorBidi" w:cstheme="majorBidi"/>
          <w:b/>
          <w:bCs/>
          <w:color w:val="000000" w:themeColor="text1"/>
        </w:rPr>
        <w:t>2) Examen physique</w:t>
      </w:r>
      <w:r w:rsidRPr="004C0D0D">
        <w:rPr>
          <w:rFonts w:asciiTheme="majorBidi" w:hAnsiTheme="majorBidi" w:cstheme="majorBidi"/>
          <w:color w:val="000000" w:themeColor="text1"/>
        </w:rPr>
        <w:t xml:space="preserve"> : complet, c-à-d examen des appareils un à un.</w:t>
      </w:r>
    </w:p>
    <w:p w:rsidR="00D5257C" w:rsidRPr="004C0D0D" w:rsidRDefault="00D5257C" w:rsidP="00A13613">
      <w:pPr>
        <w:spacing w:after="0" w:line="360" w:lineRule="auto"/>
        <w:ind w:left="648"/>
        <w:jc w:val="both"/>
        <w:rPr>
          <w:rFonts w:asciiTheme="majorBidi" w:hAnsiTheme="majorBidi" w:cstheme="majorBidi"/>
          <w:color w:val="000000" w:themeColor="text1"/>
        </w:rPr>
      </w:pPr>
      <w:r w:rsidRPr="00367712">
        <w:rPr>
          <w:rFonts w:asciiTheme="majorBidi" w:hAnsiTheme="majorBidi" w:cstheme="majorBidi"/>
          <w:b/>
          <w:bCs/>
          <w:color w:val="000000" w:themeColor="text1"/>
        </w:rPr>
        <w:t>3) Les examens complémentaires</w:t>
      </w:r>
      <w:r w:rsidRPr="004C0D0D">
        <w:rPr>
          <w:rFonts w:asciiTheme="majorBidi" w:hAnsiTheme="majorBidi" w:cstheme="majorBidi"/>
          <w:color w:val="000000" w:themeColor="text1"/>
        </w:rPr>
        <w:t xml:space="preserve"> : indiqués e</w:t>
      </w:r>
      <w:r w:rsidR="004C0D0D">
        <w:rPr>
          <w:rFonts w:asciiTheme="majorBidi" w:hAnsiTheme="majorBidi" w:cstheme="majorBidi"/>
          <w:color w:val="000000" w:themeColor="text1"/>
        </w:rPr>
        <w:t xml:space="preserve">n </w:t>
      </w:r>
      <w:r w:rsidR="00A13613">
        <w:rPr>
          <w:rFonts w:asciiTheme="majorBidi" w:hAnsiTheme="majorBidi" w:cstheme="majorBidi"/>
          <w:color w:val="000000" w:themeColor="text1"/>
        </w:rPr>
        <w:t>f</w:t>
      </w:r>
      <w:r w:rsidR="004C0D0D">
        <w:rPr>
          <w:rFonts w:asciiTheme="majorBidi" w:hAnsiTheme="majorBidi" w:cstheme="majorBidi"/>
          <w:color w:val="000000" w:themeColor="text1"/>
        </w:rPr>
        <w:t xml:space="preserve">onction </w:t>
      </w:r>
      <w:r w:rsidR="00E45A83">
        <w:rPr>
          <w:rFonts w:asciiTheme="majorBidi" w:hAnsiTheme="majorBidi" w:cstheme="majorBidi"/>
          <w:color w:val="000000" w:themeColor="text1"/>
        </w:rPr>
        <w:t xml:space="preserve">des </w:t>
      </w:r>
      <w:r w:rsidR="00E45A83" w:rsidRPr="004C0D0D">
        <w:rPr>
          <w:rFonts w:asciiTheme="majorBidi" w:hAnsiTheme="majorBidi" w:cstheme="majorBidi"/>
          <w:color w:val="000000" w:themeColor="text1"/>
        </w:rPr>
        <w:t>résultats</w:t>
      </w:r>
      <w:r w:rsidR="004C0D0D">
        <w:rPr>
          <w:rFonts w:asciiTheme="majorBidi" w:hAnsiTheme="majorBidi" w:cstheme="majorBidi"/>
          <w:color w:val="000000" w:themeColor="text1"/>
        </w:rPr>
        <w:t xml:space="preserve"> de </w:t>
      </w:r>
      <w:r w:rsidR="00E45A83">
        <w:rPr>
          <w:rFonts w:asciiTheme="majorBidi" w:hAnsiTheme="majorBidi" w:cstheme="majorBidi"/>
          <w:color w:val="000000" w:themeColor="text1"/>
        </w:rPr>
        <w:t>l’</w:t>
      </w:r>
      <w:r w:rsidR="00E45A83" w:rsidRPr="004C0D0D">
        <w:rPr>
          <w:rFonts w:asciiTheme="majorBidi" w:hAnsiTheme="majorBidi" w:cstheme="majorBidi"/>
          <w:color w:val="000000" w:themeColor="text1"/>
        </w:rPr>
        <w:t>examen</w:t>
      </w:r>
      <w:r w:rsidRPr="004C0D0D">
        <w:rPr>
          <w:rFonts w:asciiTheme="majorBidi" w:hAnsiTheme="majorBidi" w:cstheme="majorBidi"/>
          <w:color w:val="000000" w:themeColor="text1"/>
        </w:rPr>
        <w:t xml:space="preserve"> clinique.</w:t>
      </w:r>
    </w:p>
    <w:p w:rsidR="00D5257C" w:rsidRPr="00367712" w:rsidRDefault="00367712" w:rsidP="00A13613">
      <w:pPr>
        <w:spacing w:after="0" w:line="360" w:lineRule="auto"/>
        <w:ind w:left="648"/>
        <w:jc w:val="both"/>
        <w:rPr>
          <w:b/>
          <w:bCs/>
        </w:rPr>
      </w:pPr>
      <w:r w:rsidRPr="00367712">
        <w:rPr>
          <w:rFonts w:asciiTheme="majorBidi" w:hAnsiTheme="majorBidi" w:cstheme="majorBidi"/>
          <w:b/>
          <w:bCs/>
          <w:color w:val="000000" w:themeColor="text1"/>
        </w:rPr>
        <w:t>4</w:t>
      </w:r>
      <w:r w:rsidR="00D5257C" w:rsidRPr="00367712">
        <w:rPr>
          <w:rFonts w:asciiTheme="majorBidi" w:hAnsiTheme="majorBidi" w:cstheme="majorBidi"/>
          <w:b/>
          <w:bCs/>
          <w:color w:val="000000" w:themeColor="text1"/>
        </w:rPr>
        <w:t>) Les causes de l’anorexie :</w:t>
      </w:r>
      <w:r w:rsidR="00D5257C" w:rsidRPr="00367712">
        <w:rPr>
          <w:b/>
          <w:bCs/>
        </w:rPr>
        <w:t xml:space="preserve"> </w:t>
      </w:r>
    </w:p>
    <w:p w:rsidR="00D5257C" w:rsidRPr="004C0D0D" w:rsidRDefault="00D5257C" w:rsidP="00A13613">
      <w:pPr>
        <w:pStyle w:val="Paragraphedeliste"/>
        <w:numPr>
          <w:ilvl w:val="0"/>
          <w:numId w:val="4"/>
        </w:numPr>
        <w:spacing w:after="0" w:line="360" w:lineRule="auto"/>
        <w:ind w:left="1068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 xml:space="preserve">L'anorexie peut témoigner d'une affection digestive : ulcère gastro-duodénal, cancer digestif. </w:t>
      </w:r>
    </w:p>
    <w:p w:rsidR="00D5257C" w:rsidRPr="004C0D0D" w:rsidRDefault="00D5257C" w:rsidP="00A13613">
      <w:pPr>
        <w:pStyle w:val="Paragraphedeliste"/>
        <w:numPr>
          <w:ilvl w:val="0"/>
          <w:numId w:val="4"/>
        </w:numPr>
        <w:spacing w:after="0" w:line="360" w:lineRule="auto"/>
        <w:ind w:left="1068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Elle peut avoir d'autres origines :</w:t>
      </w:r>
    </w:p>
    <w:p w:rsidR="00D5257C" w:rsidRPr="004C0D0D" w:rsidRDefault="00D5257C" w:rsidP="00A13613">
      <w:pPr>
        <w:pStyle w:val="Paragraphedeliste"/>
        <w:numPr>
          <w:ilvl w:val="1"/>
          <w:numId w:val="4"/>
        </w:numPr>
        <w:spacing w:after="0" w:line="360" w:lineRule="auto"/>
        <w:ind w:left="1788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Une origine psychique : anorexie mentale qui se rencontre surtout chez la femme ou la jeune fille, déclenchée par un choc émotif et s'accompagnant d'un amaigrissement important.</w:t>
      </w:r>
    </w:p>
    <w:p w:rsidR="00D5257C" w:rsidRPr="004C0D0D" w:rsidRDefault="00D5257C" w:rsidP="00A13613">
      <w:pPr>
        <w:pStyle w:val="Paragraphedeliste"/>
        <w:spacing w:after="0" w:line="360" w:lineRule="auto"/>
        <w:ind w:left="1428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 xml:space="preserve"> — Une maladie infectieuse ; exemple : la tuberculose ;</w:t>
      </w:r>
      <w:r w:rsidR="00A13613">
        <w:rPr>
          <w:rFonts w:asciiTheme="majorBidi" w:hAnsiTheme="majorBidi" w:cstheme="majorBidi"/>
          <w:color w:val="000000" w:themeColor="text1"/>
        </w:rPr>
        <w:t xml:space="preserve"> paludisme ; </w:t>
      </w:r>
      <w:r w:rsidRPr="004C0D0D">
        <w:rPr>
          <w:rFonts w:asciiTheme="majorBidi" w:hAnsiTheme="majorBidi" w:cstheme="majorBidi"/>
          <w:color w:val="000000" w:themeColor="text1"/>
        </w:rPr>
        <w:t>….</w:t>
      </w:r>
    </w:p>
    <w:p w:rsidR="00D5257C" w:rsidRDefault="00D5257C" w:rsidP="00A13613">
      <w:pPr>
        <w:spacing w:after="0" w:line="360" w:lineRule="auto"/>
        <w:ind w:left="708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 xml:space="preserve"> </w:t>
      </w:r>
    </w:p>
    <w:p w:rsidR="00E45A83" w:rsidRDefault="00E45A83" w:rsidP="00A13613">
      <w:pPr>
        <w:spacing w:after="0" w:line="360" w:lineRule="auto"/>
        <w:ind w:left="708"/>
        <w:jc w:val="both"/>
        <w:rPr>
          <w:rFonts w:asciiTheme="majorBidi" w:hAnsiTheme="majorBidi" w:cstheme="majorBidi"/>
          <w:color w:val="000000" w:themeColor="text1"/>
        </w:rPr>
      </w:pPr>
    </w:p>
    <w:p w:rsidR="00E45A83" w:rsidRDefault="00E45A83" w:rsidP="00A13613">
      <w:pPr>
        <w:spacing w:after="0" w:line="360" w:lineRule="auto"/>
        <w:ind w:left="708"/>
        <w:jc w:val="both"/>
        <w:rPr>
          <w:rFonts w:asciiTheme="majorBidi" w:hAnsiTheme="majorBidi" w:cstheme="majorBidi"/>
          <w:color w:val="000000" w:themeColor="text1"/>
        </w:rPr>
      </w:pPr>
    </w:p>
    <w:p w:rsidR="00E45A83" w:rsidRDefault="00E45A83" w:rsidP="00A13613">
      <w:pPr>
        <w:spacing w:after="0" w:line="360" w:lineRule="auto"/>
        <w:ind w:left="708"/>
        <w:jc w:val="both"/>
        <w:rPr>
          <w:rFonts w:asciiTheme="majorBidi" w:hAnsiTheme="majorBidi" w:cstheme="majorBidi"/>
          <w:color w:val="000000" w:themeColor="text1"/>
        </w:rPr>
      </w:pPr>
    </w:p>
    <w:p w:rsidR="00E45A83" w:rsidRPr="004C0D0D" w:rsidRDefault="00E45A83" w:rsidP="00A13613">
      <w:pPr>
        <w:spacing w:after="0" w:line="360" w:lineRule="auto"/>
        <w:ind w:left="708"/>
        <w:jc w:val="both"/>
        <w:rPr>
          <w:rFonts w:asciiTheme="majorBidi" w:hAnsiTheme="majorBidi" w:cstheme="majorBidi"/>
          <w:color w:val="000000" w:themeColor="text1"/>
        </w:rPr>
      </w:pPr>
    </w:p>
    <w:p w:rsidR="00D5257C" w:rsidRPr="004C0D0D" w:rsidRDefault="00D5257C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</w:p>
    <w:p w:rsidR="004C0D0D" w:rsidRDefault="00D5257C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 B</w:t>
      </w:r>
      <w:r w:rsidRPr="00A13613">
        <w:rPr>
          <w:rFonts w:asciiTheme="majorBidi" w:hAnsiTheme="majorBidi" w:cstheme="majorBidi"/>
          <w:b/>
          <w:bCs/>
          <w:color w:val="000000" w:themeColor="text1"/>
        </w:rPr>
        <w:t>) LA POLYPHAGIE :</w:t>
      </w:r>
    </w:p>
    <w:p w:rsidR="00A13613" w:rsidRDefault="00A13613" w:rsidP="00A1361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b/>
          <w:bCs/>
          <w:color w:val="000000" w:themeColor="text1"/>
        </w:rPr>
        <w:t>Définition</w:t>
      </w:r>
      <w:r w:rsidRPr="00A13613">
        <w:rPr>
          <w:rFonts w:asciiTheme="majorBidi" w:hAnsiTheme="majorBidi" w:cstheme="majorBidi"/>
          <w:color w:val="000000" w:themeColor="text1"/>
        </w:rPr>
        <w:t xml:space="preserve"> </w:t>
      </w:r>
      <w:r w:rsidR="00D5257C" w:rsidRPr="00A13613">
        <w:rPr>
          <w:rFonts w:asciiTheme="majorBidi" w:hAnsiTheme="majorBidi" w:cstheme="majorBidi"/>
          <w:color w:val="000000" w:themeColor="text1"/>
        </w:rPr>
        <w:t>: augmentation de l'appétit consommation excessive d’aliments.</w:t>
      </w:r>
    </w:p>
    <w:p w:rsidR="00D5257C" w:rsidRPr="00A13613" w:rsidRDefault="00A13613" w:rsidP="00A1361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13613">
        <w:rPr>
          <w:rFonts w:asciiTheme="majorBidi" w:hAnsiTheme="majorBidi" w:cstheme="majorBidi"/>
          <w:b/>
          <w:bCs/>
          <w:color w:val="000000" w:themeColor="text1"/>
        </w:rPr>
        <w:t>Étude sémiologique :</w:t>
      </w:r>
    </w:p>
    <w:p w:rsidR="004C0D0D" w:rsidRPr="004C0D0D" w:rsidRDefault="00D5257C" w:rsidP="00A13613">
      <w:pPr>
        <w:pStyle w:val="Paragraphedeliste"/>
        <w:numPr>
          <w:ilvl w:val="0"/>
          <w:numId w:val="5"/>
        </w:numPr>
        <w:spacing w:after="0" w:line="360" w:lineRule="auto"/>
        <w:ind w:left="1068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b/>
          <w:bCs/>
          <w:color w:val="000000" w:themeColor="text1"/>
        </w:rPr>
        <w:t>Interrogatoire</w:t>
      </w:r>
      <w:r w:rsidRPr="004C0D0D">
        <w:rPr>
          <w:rFonts w:asciiTheme="majorBidi" w:hAnsiTheme="majorBidi" w:cstheme="majorBidi"/>
          <w:color w:val="000000" w:themeColor="text1"/>
        </w:rPr>
        <w:t xml:space="preserve"> : prise médicamenteuse, une polyurie (augmentation de la quantité d’urines émises), une polydipsie (sensation de soif </w:t>
      </w:r>
      <w:r w:rsidR="00A13613" w:rsidRPr="004C0D0D">
        <w:rPr>
          <w:rFonts w:asciiTheme="majorBidi" w:hAnsiTheme="majorBidi" w:cstheme="majorBidi"/>
          <w:color w:val="000000" w:themeColor="text1"/>
        </w:rPr>
        <w:t>exagérée) …</w:t>
      </w:r>
    </w:p>
    <w:p w:rsidR="004C0D0D" w:rsidRPr="00A13613" w:rsidRDefault="004C0D0D" w:rsidP="00A13613">
      <w:pPr>
        <w:pStyle w:val="Paragraphedeliste"/>
        <w:numPr>
          <w:ilvl w:val="0"/>
          <w:numId w:val="5"/>
        </w:numPr>
        <w:spacing w:after="0" w:line="360" w:lineRule="auto"/>
        <w:ind w:left="1068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13613">
        <w:rPr>
          <w:rFonts w:asciiTheme="majorBidi" w:hAnsiTheme="majorBidi" w:cstheme="majorBidi"/>
          <w:b/>
          <w:bCs/>
          <w:color w:val="000000" w:themeColor="text1"/>
        </w:rPr>
        <w:t xml:space="preserve">L’examen physique </w:t>
      </w:r>
      <w:r w:rsidR="00D5257C" w:rsidRPr="00A13613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</w:p>
    <w:p w:rsidR="004C0D0D" w:rsidRDefault="004C0D0D" w:rsidP="00A13613">
      <w:pPr>
        <w:pStyle w:val="Paragraphedeliste"/>
        <w:spacing w:after="0" w:line="360" w:lineRule="auto"/>
        <w:ind w:left="1068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O</w:t>
      </w:r>
      <w:r w:rsidR="00D5257C" w:rsidRPr="004C0D0D">
        <w:rPr>
          <w:rFonts w:asciiTheme="majorBidi" w:hAnsiTheme="majorBidi" w:cstheme="majorBidi"/>
          <w:color w:val="000000" w:themeColor="text1"/>
        </w:rPr>
        <w:t>bésité</w:t>
      </w:r>
      <w:r>
        <w:t xml:space="preserve"> : </w:t>
      </w:r>
      <w:r w:rsidRPr="004C0D0D">
        <w:rPr>
          <w:rFonts w:asciiTheme="majorBidi" w:hAnsiTheme="majorBidi" w:cstheme="majorBidi"/>
          <w:color w:val="000000" w:themeColor="text1"/>
        </w:rPr>
        <w:t xml:space="preserve">Augmentation du poids en rapport à une augmentation de la masse graisseuse ( </w:t>
      </w:r>
      <w:r w:rsidRPr="004C0D0D">
        <w:rPr>
          <w:rFonts w:asciiTheme="majorBidi" w:hAnsiTheme="majorBidi" w:cstheme="majorBidi"/>
          <w:color w:val="000000" w:themeColor="text1"/>
        </w:rPr>
        <w:sym w:font="Symbol" w:char="F0B3"/>
      </w:r>
      <w:r w:rsidRPr="004C0D0D">
        <w:rPr>
          <w:rFonts w:asciiTheme="majorBidi" w:hAnsiTheme="majorBidi" w:cstheme="majorBidi"/>
          <w:color w:val="000000" w:themeColor="text1"/>
        </w:rPr>
        <w:t xml:space="preserve"> 20 % du poids normal )</w:t>
      </w:r>
      <w:r>
        <w:rPr>
          <w:rFonts w:asciiTheme="majorBidi" w:hAnsiTheme="majorBidi" w:cstheme="majorBidi"/>
          <w:color w:val="000000" w:themeColor="text1"/>
        </w:rPr>
        <w:t> :</w:t>
      </w:r>
    </w:p>
    <w:p w:rsidR="00A13613" w:rsidRDefault="00A13613" w:rsidP="00A13613">
      <w:pPr>
        <w:pStyle w:val="Paragraphedeliste"/>
        <w:spacing w:after="0" w:line="360" w:lineRule="auto"/>
        <w:ind w:left="1416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color w:val="000000" w:themeColor="text1"/>
        </w:rPr>
        <w:sym w:font="Symbol" w:char="F0A8"/>
      </w:r>
      <w:r w:rsidRPr="00A13613">
        <w:rPr>
          <w:rFonts w:asciiTheme="majorBidi" w:hAnsiTheme="majorBidi" w:cstheme="majorBidi"/>
          <w:color w:val="000000" w:themeColor="text1"/>
        </w:rPr>
        <w:t>Modalités de prise de poids :</w:t>
      </w:r>
    </w:p>
    <w:p w:rsidR="00A13613" w:rsidRDefault="00A13613" w:rsidP="00A13613">
      <w:pPr>
        <w:pStyle w:val="Paragraphedeliste"/>
        <w:spacing w:after="0" w:line="360" w:lineRule="auto"/>
        <w:ind w:left="2112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color w:val="000000" w:themeColor="text1"/>
        </w:rPr>
        <w:t xml:space="preserve"> •Choc émotionnel</w:t>
      </w:r>
    </w:p>
    <w:p w:rsidR="00A13613" w:rsidRDefault="00A13613" w:rsidP="00A13613">
      <w:pPr>
        <w:pStyle w:val="Paragraphedeliste"/>
        <w:spacing w:after="0" w:line="360" w:lineRule="auto"/>
        <w:ind w:left="2112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color w:val="000000" w:themeColor="text1"/>
        </w:rPr>
        <w:t xml:space="preserve"> •Diminution de l’activité physique</w:t>
      </w:r>
    </w:p>
    <w:p w:rsidR="00A13613" w:rsidRDefault="00A13613" w:rsidP="00A13613">
      <w:pPr>
        <w:pStyle w:val="Paragraphedeliste"/>
        <w:spacing w:after="0" w:line="360" w:lineRule="auto"/>
        <w:ind w:left="2112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color w:val="000000" w:themeColor="text1"/>
        </w:rPr>
        <w:t xml:space="preserve"> •Sevrage du tabac </w:t>
      </w:r>
    </w:p>
    <w:p w:rsidR="00A13613" w:rsidRDefault="00A13613" w:rsidP="00A13613">
      <w:pPr>
        <w:pStyle w:val="Paragraphedeliste"/>
        <w:spacing w:after="0" w:line="360" w:lineRule="auto"/>
        <w:ind w:left="2112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color w:val="000000" w:themeColor="text1"/>
        </w:rPr>
        <w:t xml:space="preserve">•Prise médicamenteuse ( pilule, corticoïdes, neuroleptiques) </w:t>
      </w:r>
      <w:r w:rsidRPr="00A13613">
        <w:rPr>
          <w:rFonts w:asciiTheme="majorBidi" w:hAnsiTheme="majorBidi" w:cstheme="majorBidi"/>
          <w:color w:val="000000" w:themeColor="text1"/>
        </w:rPr>
        <w:sym w:font="Symbol" w:char="F0A8"/>
      </w:r>
      <w:r w:rsidRPr="00A13613">
        <w:rPr>
          <w:rFonts w:asciiTheme="majorBidi" w:hAnsiTheme="majorBidi" w:cstheme="majorBidi"/>
          <w:color w:val="000000" w:themeColor="text1"/>
        </w:rPr>
        <w:t xml:space="preserve">Comportement alimentaire • </w:t>
      </w:r>
      <w:r w:rsidRPr="00A13613">
        <w:rPr>
          <w:rFonts w:asciiTheme="majorBidi" w:hAnsiTheme="majorBidi" w:cstheme="majorBidi"/>
          <w:color w:val="000000" w:themeColor="text1"/>
        </w:rPr>
        <w:sym w:font="Symbol" w:char="F0A8"/>
      </w:r>
      <w:r w:rsidRPr="00A13613">
        <w:rPr>
          <w:rFonts w:asciiTheme="majorBidi" w:hAnsiTheme="majorBidi" w:cstheme="majorBidi"/>
          <w:color w:val="000000" w:themeColor="text1"/>
        </w:rPr>
        <w:t xml:space="preserve">Dépenses énergétiques </w:t>
      </w:r>
    </w:p>
    <w:p w:rsidR="00A13613" w:rsidRDefault="00A13613" w:rsidP="00A13613">
      <w:pPr>
        <w:pStyle w:val="Paragraphedeliste"/>
        <w:spacing w:after="0" w:line="360" w:lineRule="auto"/>
        <w:ind w:left="1416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color w:val="000000" w:themeColor="text1"/>
        </w:rPr>
        <w:sym w:font="Symbol" w:char="F0A8"/>
      </w:r>
      <w:r w:rsidRPr="00A13613">
        <w:rPr>
          <w:rFonts w:asciiTheme="majorBidi" w:hAnsiTheme="majorBidi" w:cstheme="majorBidi"/>
          <w:color w:val="000000" w:themeColor="text1"/>
        </w:rPr>
        <w:t xml:space="preserve">Enquête psychologique </w:t>
      </w:r>
    </w:p>
    <w:p w:rsidR="004C0D0D" w:rsidRPr="00A13613" w:rsidRDefault="00A13613" w:rsidP="00A13613">
      <w:pPr>
        <w:pStyle w:val="Paragraphedeliste"/>
        <w:spacing w:after="0" w:line="360" w:lineRule="auto"/>
        <w:ind w:left="1416"/>
        <w:jc w:val="both"/>
        <w:rPr>
          <w:rFonts w:asciiTheme="majorBidi" w:hAnsiTheme="majorBidi" w:cstheme="majorBidi"/>
          <w:color w:val="000000" w:themeColor="text1"/>
        </w:rPr>
      </w:pPr>
      <w:r w:rsidRPr="00A13613">
        <w:rPr>
          <w:rFonts w:asciiTheme="majorBidi" w:hAnsiTheme="majorBidi" w:cstheme="majorBidi"/>
          <w:color w:val="000000" w:themeColor="text1"/>
        </w:rPr>
        <w:sym w:font="Symbol" w:char="F0A8"/>
      </w:r>
      <w:r w:rsidRPr="00A13613">
        <w:rPr>
          <w:rFonts w:asciiTheme="majorBidi" w:hAnsiTheme="majorBidi" w:cstheme="majorBidi"/>
          <w:color w:val="000000" w:themeColor="text1"/>
        </w:rPr>
        <w:t>Enquête familiale</w:t>
      </w:r>
    </w:p>
    <w:p w:rsidR="004C0D0D" w:rsidRPr="00A13613" w:rsidRDefault="00A13613" w:rsidP="00A13613">
      <w:pPr>
        <w:pStyle w:val="Paragraphedeliste"/>
        <w:numPr>
          <w:ilvl w:val="0"/>
          <w:numId w:val="5"/>
        </w:numPr>
        <w:spacing w:after="0" w:line="360" w:lineRule="auto"/>
        <w:ind w:left="1068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13613">
        <w:rPr>
          <w:rFonts w:asciiTheme="majorBidi" w:hAnsiTheme="majorBidi" w:cstheme="majorBidi"/>
          <w:b/>
          <w:bCs/>
          <w:color w:val="000000" w:themeColor="text1"/>
        </w:rPr>
        <w:t xml:space="preserve">Les causes de la polyphagie : </w:t>
      </w:r>
    </w:p>
    <w:p w:rsidR="004C0D0D" w:rsidRDefault="00D5257C" w:rsidP="00A13613">
      <w:pPr>
        <w:spacing w:after="0" w:line="360" w:lineRule="auto"/>
        <w:ind w:left="1068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 xml:space="preserve">- le diabète sucré ; </w:t>
      </w:r>
    </w:p>
    <w:p w:rsidR="00D5257C" w:rsidRPr="004C0D0D" w:rsidRDefault="00D5257C" w:rsidP="00A13613">
      <w:pPr>
        <w:spacing w:after="0" w:line="360" w:lineRule="auto"/>
        <w:ind w:left="1068"/>
        <w:jc w:val="both"/>
        <w:rPr>
          <w:rFonts w:asciiTheme="majorBidi" w:hAnsiTheme="majorBidi" w:cstheme="majorBidi"/>
          <w:color w:val="000000" w:themeColor="text1"/>
        </w:rPr>
      </w:pPr>
      <w:r w:rsidRPr="004C0D0D">
        <w:rPr>
          <w:rFonts w:asciiTheme="majorBidi" w:hAnsiTheme="majorBidi" w:cstheme="majorBidi"/>
          <w:color w:val="000000" w:themeColor="text1"/>
        </w:rPr>
        <w:t>- la dépression mentale (trouble psychiatrique).</w:t>
      </w:r>
    </w:p>
    <w:p w:rsidR="00D5257C" w:rsidRPr="004C0D0D" w:rsidRDefault="00D5257C" w:rsidP="00A13613">
      <w:pPr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</w:p>
    <w:sectPr w:rsidR="00D5257C" w:rsidRPr="004C0D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FB" w:rsidRDefault="004718FB" w:rsidP="00E45A83">
      <w:pPr>
        <w:spacing w:after="0" w:line="240" w:lineRule="auto"/>
      </w:pPr>
      <w:r>
        <w:separator/>
      </w:r>
    </w:p>
  </w:endnote>
  <w:endnote w:type="continuationSeparator" w:id="0">
    <w:p w:rsidR="004718FB" w:rsidRDefault="004718FB" w:rsidP="00E4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3" w:rsidRPr="00E45A83" w:rsidRDefault="00E45A83" w:rsidP="00E45A83">
    <w:pPr>
      <w:pStyle w:val="Pieddepage"/>
      <w:jc w:val="center"/>
      <w:rPr>
        <w:b/>
        <w:bCs/>
        <w:color w:val="000000" w:themeColor="text1"/>
      </w:rPr>
    </w:pPr>
    <w:r w:rsidRPr="00E45A83">
      <w:rPr>
        <w:b/>
        <w:bCs/>
        <w:color w:val="000000" w:themeColor="text1"/>
      </w:rPr>
      <w:t>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FB" w:rsidRDefault="004718FB" w:rsidP="00E45A83">
      <w:pPr>
        <w:spacing w:after="0" w:line="240" w:lineRule="auto"/>
      </w:pPr>
      <w:r>
        <w:separator/>
      </w:r>
    </w:p>
  </w:footnote>
  <w:footnote w:type="continuationSeparator" w:id="0">
    <w:p w:rsidR="004718FB" w:rsidRDefault="004718FB" w:rsidP="00E4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3" w:rsidRPr="00E45A83" w:rsidRDefault="00E45A83" w:rsidP="00E45A83">
    <w:pPr>
      <w:pStyle w:val="En-tte"/>
      <w:rPr>
        <w:b/>
        <w:bCs/>
        <w:sz w:val="20"/>
        <w:szCs w:val="20"/>
      </w:rPr>
    </w:pPr>
    <w:r w:rsidRPr="00E45A83">
      <w:rPr>
        <w:b/>
        <w:bCs/>
        <w:sz w:val="20"/>
        <w:szCs w:val="20"/>
      </w:rPr>
      <w:t>3eme année médecine</w:t>
    </w:r>
    <w:r w:rsidRPr="00E45A83">
      <w:rPr>
        <w:b/>
        <w:bCs/>
        <w:sz w:val="20"/>
        <w:szCs w:val="20"/>
      </w:rPr>
      <w:ptab w:relativeTo="margin" w:alignment="center" w:leader="none"/>
    </w:r>
    <w:r w:rsidRPr="00E45A83">
      <w:rPr>
        <w:b/>
        <w:bCs/>
        <w:sz w:val="20"/>
        <w:szCs w:val="20"/>
      </w:rPr>
      <w:t>sémiologie digestive</w:t>
    </w:r>
    <w:r w:rsidRPr="00E45A83">
      <w:rPr>
        <w:b/>
        <w:bCs/>
        <w:sz w:val="20"/>
        <w:szCs w:val="20"/>
      </w:rPr>
      <w:ptab w:relativeTo="margin" w:alignment="right" w:leader="none"/>
    </w:r>
    <w:r w:rsidRPr="00E45A83">
      <w:rPr>
        <w:b/>
        <w:bCs/>
        <w:sz w:val="20"/>
        <w:szCs w:val="20"/>
      </w:rPr>
      <w:t>Dr.BOUCETTA.W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4F9"/>
    <w:multiLevelType w:val="hybridMultilevel"/>
    <w:tmpl w:val="58845B78"/>
    <w:lvl w:ilvl="0" w:tplc="0DFCB8F0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03EF5"/>
    <w:multiLevelType w:val="hybridMultilevel"/>
    <w:tmpl w:val="384406DE"/>
    <w:lvl w:ilvl="0" w:tplc="9C365266">
      <w:numFmt w:val="bullet"/>
      <w:lvlText w:val=""/>
      <w:lvlJc w:val="left"/>
      <w:pPr>
        <w:ind w:left="720" w:hanging="360"/>
      </w:pPr>
      <w:rPr>
        <w:rFonts w:hint="default"/>
        <w:w w:val="100"/>
        <w:lang w:val="fr-FR" w:eastAsia="en-US" w:bidi="ar-SA"/>
      </w:rPr>
    </w:lvl>
    <w:lvl w:ilvl="1" w:tplc="B762C690">
      <w:start w:val="2"/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B29EE"/>
    <w:multiLevelType w:val="hybridMultilevel"/>
    <w:tmpl w:val="578C0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C52"/>
    <w:multiLevelType w:val="hybridMultilevel"/>
    <w:tmpl w:val="D21CF438"/>
    <w:lvl w:ilvl="0" w:tplc="040C0013">
      <w:start w:val="1"/>
      <w:numFmt w:val="upperRoman"/>
      <w:lvlText w:val="%1."/>
      <w:lvlJc w:val="righ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FAC0B0D"/>
    <w:multiLevelType w:val="hybridMultilevel"/>
    <w:tmpl w:val="B4BACADA"/>
    <w:lvl w:ilvl="0" w:tplc="645A28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25DFB"/>
    <w:multiLevelType w:val="hybridMultilevel"/>
    <w:tmpl w:val="6428C534"/>
    <w:lvl w:ilvl="0" w:tplc="DD56C230">
      <w:start w:val="1"/>
      <w:numFmt w:val="lowerRoman"/>
      <w:lvlText w:val="%1."/>
      <w:lvlJc w:val="left"/>
      <w:pPr>
        <w:ind w:left="114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0C6AF8"/>
    <w:multiLevelType w:val="hybridMultilevel"/>
    <w:tmpl w:val="8F54341A"/>
    <w:lvl w:ilvl="0" w:tplc="10EA37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50E605C"/>
    <w:multiLevelType w:val="hybridMultilevel"/>
    <w:tmpl w:val="DE1C7C44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D"/>
    <w:rsid w:val="00123CAC"/>
    <w:rsid w:val="00367712"/>
    <w:rsid w:val="0044327D"/>
    <w:rsid w:val="004718FB"/>
    <w:rsid w:val="004C0D0D"/>
    <w:rsid w:val="0055223D"/>
    <w:rsid w:val="005F5F8A"/>
    <w:rsid w:val="00A13613"/>
    <w:rsid w:val="00D5257C"/>
    <w:rsid w:val="00D75297"/>
    <w:rsid w:val="00DF684D"/>
    <w:rsid w:val="00E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2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257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A83"/>
  </w:style>
  <w:style w:type="paragraph" w:styleId="Pieddepage">
    <w:name w:val="footer"/>
    <w:basedOn w:val="Normal"/>
    <w:link w:val="PieddepageCar"/>
    <w:uiPriority w:val="99"/>
    <w:unhideWhenUsed/>
    <w:rsid w:val="00E4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2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257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A83"/>
  </w:style>
  <w:style w:type="paragraph" w:styleId="Pieddepage">
    <w:name w:val="footer"/>
    <w:basedOn w:val="Normal"/>
    <w:link w:val="PieddepageCar"/>
    <w:uiPriority w:val="99"/>
    <w:unhideWhenUsed/>
    <w:rsid w:val="00E4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INFO</dc:creator>
  <cp:lastModifiedBy>Doyen</cp:lastModifiedBy>
  <cp:revision>2</cp:revision>
  <dcterms:created xsi:type="dcterms:W3CDTF">2020-08-17T10:14:00Z</dcterms:created>
  <dcterms:modified xsi:type="dcterms:W3CDTF">2020-08-17T10:14:00Z</dcterms:modified>
</cp:coreProperties>
</file>