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96" w:rsidRDefault="00372E10" w:rsidP="00E644D4">
      <w:pPr>
        <w:jc w:val="center"/>
        <w:rPr>
          <w:rFonts w:ascii="Times-Bold" w:hAnsi="Times-Bold" w:cs="Times-Bold"/>
          <w:b/>
          <w:bCs/>
          <w:color w:val="004DA0"/>
          <w:sz w:val="72"/>
          <w:szCs w:val="72"/>
        </w:rPr>
      </w:pPr>
      <w:r w:rsidRPr="007C4301">
        <w:rPr>
          <w:rFonts w:ascii="Times-Bold" w:hAnsi="Times-Bold" w:cs="Times-Bold"/>
          <w:b/>
          <w:bCs/>
          <w:color w:val="004DA0"/>
          <w:sz w:val="72"/>
          <w:szCs w:val="72"/>
        </w:rPr>
        <w:t>Cancer du rein</w:t>
      </w:r>
      <w:r w:rsidR="008B5B77">
        <w:rPr>
          <w:rFonts w:ascii="Times-Bold" w:hAnsi="Times-Bold" w:cs="Times-Bold"/>
          <w:b/>
          <w:bCs/>
          <w:color w:val="004DA0"/>
          <w:sz w:val="72"/>
          <w:szCs w:val="72"/>
        </w:rPr>
        <w:t xml:space="preserve"> de l’adulte </w:t>
      </w:r>
    </w:p>
    <w:p w:rsidR="007C4301" w:rsidRPr="007C4301" w:rsidRDefault="00DD7330" w:rsidP="00E644D4">
      <w:pPr>
        <w:jc w:val="center"/>
        <w:rPr>
          <w:rFonts w:ascii="Times-Bold" w:hAnsi="Times-Bold" w:cs="Times-Bold"/>
          <w:b/>
          <w:bCs/>
          <w:sz w:val="18"/>
          <w:szCs w:val="18"/>
        </w:rPr>
      </w:pPr>
      <w:proofErr w:type="spellStart"/>
      <w:r>
        <w:rPr>
          <w:rFonts w:ascii="Times-Bold" w:hAnsi="Times-Bold" w:cs="Times-Bold"/>
          <w:b/>
          <w:bCs/>
          <w:sz w:val="18"/>
          <w:szCs w:val="18"/>
        </w:rPr>
        <w:t>P</w:t>
      </w:r>
      <w:r w:rsidR="007C4301" w:rsidRPr="007C4301">
        <w:rPr>
          <w:rFonts w:ascii="Times-Bold" w:hAnsi="Times-Bold" w:cs="Times-Bold"/>
          <w:b/>
          <w:bCs/>
          <w:sz w:val="18"/>
          <w:szCs w:val="18"/>
        </w:rPr>
        <w:t>r.OUARHLENT</w:t>
      </w:r>
      <w:proofErr w:type="spellEnd"/>
      <w:r w:rsidR="007C4301" w:rsidRPr="007C4301">
        <w:rPr>
          <w:rFonts w:ascii="Times-Bold" w:hAnsi="Times-Bold" w:cs="Times-Bold"/>
          <w:b/>
          <w:bCs/>
          <w:sz w:val="18"/>
          <w:szCs w:val="18"/>
        </w:rPr>
        <w:t>.H.E</w:t>
      </w:r>
    </w:p>
    <w:p w:rsidR="007C4301" w:rsidRPr="007C4301" w:rsidRDefault="00DD7330" w:rsidP="00E644D4">
      <w:pPr>
        <w:jc w:val="center"/>
        <w:rPr>
          <w:rFonts w:ascii="Times-Bold" w:hAnsi="Times-Bold" w:cs="Times-Bold"/>
          <w:b/>
          <w:bCs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>MAITRE DE CONFERENCE</w:t>
      </w:r>
      <w:r w:rsidR="007C4301" w:rsidRPr="007C4301">
        <w:rPr>
          <w:rFonts w:ascii="Times-Bold" w:hAnsi="Times-Bold" w:cs="Times-Bold"/>
          <w:b/>
          <w:bCs/>
          <w:sz w:val="18"/>
          <w:szCs w:val="18"/>
        </w:rPr>
        <w:t xml:space="preserve"> EN UROLOGIE</w:t>
      </w:r>
    </w:p>
    <w:p w:rsidR="007C4301" w:rsidRPr="007C4301" w:rsidRDefault="007C4301" w:rsidP="00E644D4">
      <w:pPr>
        <w:jc w:val="center"/>
        <w:rPr>
          <w:rFonts w:ascii="Times-Bold" w:hAnsi="Times-Bold" w:cs="Times-Bold"/>
          <w:b/>
          <w:bCs/>
          <w:sz w:val="18"/>
          <w:szCs w:val="18"/>
        </w:rPr>
      </w:pPr>
      <w:r w:rsidRPr="007C4301">
        <w:rPr>
          <w:rFonts w:ascii="Times-Bold" w:hAnsi="Times-Bold" w:cs="Times-Bold"/>
          <w:b/>
          <w:bCs/>
          <w:sz w:val="18"/>
          <w:szCs w:val="18"/>
        </w:rPr>
        <w:t>FACULTE DE MEDECINE DE BATNA</w:t>
      </w:r>
    </w:p>
    <w:p w:rsidR="00372E10" w:rsidRPr="007C4301" w:rsidRDefault="00E644D4" w:rsidP="00372E10">
      <w:pPr>
        <w:rPr>
          <w:rFonts w:cs="GentiumBookBasic-Bold"/>
          <w:b/>
          <w:bCs/>
          <w:sz w:val="44"/>
          <w:szCs w:val="44"/>
        </w:rPr>
      </w:pPr>
      <w:r w:rsidRPr="007C4301">
        <w:rPr>
          <w:rFonts w:cs="StoneSans-Bold"/>
          <w:b/>
          <w:bCs/>
          <w:color w:val="004DA0"/>
          <w:sz w:val="44"/>
          <w:szCs w:val="44"/>
        </w:rPr>
        <w:t>Introduction</w:t>
      </w:r>
    </w:p>
    <w:p w:rsidR="00642C4B" w:rsidRPr="003732A8" w:rsidRDefault="00372E10" w:rsidP="00642C4B">
      <w:pPr>
        <w:autoSpaceDE w:val="0"/>
        <w:autoSpaceDN w:val="0"/>
        <w:adjustRightInd w:val="0"/>
        <w:spacing w:after="0" w:line="240" w:lineRule="auto"/>
        <w:rPr>
          <w:rFonts w:cs="StoneSans-Italic"/>
          <w:color w:val="1B1C20"/>
          <w:sz w:val="24"/>
          <w:szCs w:val="24"/>
        </w:rPr>
      </w:pPr>
      <w:r w:rsidRPr="003732A8">
        <w:rPr>
          <w:rFonts w:cs="StoneSans-Italic"/>
          <w:color w:val="1B1C20"/>
          <w:sz w:val="24"/>
          <w:szCs w:val="24"/>
        </w:rPr>
        <w:t>Le cancer du rein représente de 2 % à 3 % des cancers de l’adulte.</w:t>
      </w:r>
      <w:r w:rsidR="00642C4B" w:rsidRPr="003732A8">
        <w:rPr>
          <w:rFonts w:cs="StoneSans-Italic"/>
          <w:color w:val="1B1C20"/>
          <w:sz w:val="24"/>
          <w:szCs w:val="24"/>
        </w:rPr>
        <w:t xml:space="preserve"> </w:t>
      </w:r>
    </w:p>
    <w:p w:rsidR="00642C4B" w:rsidRPr="003732A8" w:rsidRDefault="00642C4B" w:rsidP="00E644D4">
      <w:pPr>
        <w:autoSpaceDE w:val="0"/>
        <w:autoSpaceDN w:val="0"/>
        <w:adjustRightInd w:val="0"/>
        <w:spacing w:after="0" w:line="240" w:lineRule="auto"/>
        <w:rPr>
          <w:rFonts w:cs="StoneSans-Italic"/>
          <w:color w:val="1B1C20"/>
          <w:sz w:val="24"/>
          <w:szCs w:val="24"/>
        </w:rPr>
      </w:pPr>
      <w:r w:rsidRPr="003732A8">
        <w:rPr>
          <w:rFonts w:cs="StoneSans-Italic"/>
          <w:color w:val="1B1C20"/>
          <w:sz w:val="24"/>
          <w:szCs w:val="24"/>
        </w:rPr>
        <w:t>Incidence est en augmentation</w:t>
      </w:r>
      <w:r w:rsidR="00E644D4" w:rsidRPr="003732A8">
        <w:rPr>
          <w:rFonts w:cs="StoneSans-Italic"/>
          <w:color w:val="1B1C20"/>
          <w:sz w:val="24"/>
          <w:szCs w:val="24"/>
        </w:rPr>
        <w:t xml:space="preserve"> (</w:t>
      </w:r>
      <w:r w:rsidR="00E644D4" w:rsidRPr="003732A8">
        <w:rPr>
          <w:rFonts w:cs="GentiumBookBasic-Italic"/>
          <w:sz w:val="24"/>
          <w:szCs w:val="24"/>
        </w:rPr>
        <w:t>2%/ans)</w:t>
      </w:r>
    </w:p>
    <w:p w:rsidR="00642C4B" w:rsidRPr="003732A8" w:rsidRDefault="00372E10" w:rsidP="00642C4B">
      <w:pPr>
        <w:autoSpaceDE w:val="0"/>
        <w:autoSpaceDN w:val="0"/>
        <w:adjustRightInd w:val="0"/>
        <w:spacing w:after="0" w:line="240" w:lineRule="auto"/>
        <w:rPr>
          <w:rFonts w:cs="StoneSans-Italic"/>
          <w:color w:val="1B1C20"/>
          <w:sz w:val="24"/>
          <w:szCs w:val="24"/>
        </w:rPr>
      </w:pPr>
      <w:r w:rsidRPr="003732A8">
        <w:rPr>
          <w:rFonts w:cs="StoneSans-Italic"/>
          <w:color w:val="1B1C20"/>
          <w:sz w:val="24"/>
          <w:szCs w:val="24"/>
        </w:rPr>
        <w:t>Le</w:t>
      </w:r>
      <w:r w:rsidR="00642C4B" w:rsidRPr="003732A8">
        <w:rPr>
          <w:rFonts w:cs="StoneSans-Italic"/>
          <w:color w:val="1B1C20"/>
          <w:sz w:val="24"/>
          <w:szCs w:val="24"/>
        </w:rPr>
        <w:t xml:space="preserve"> </w:t>
      </w:r>
      <w:proofErr w:type="spellStart"/>
      <w:r w:rsidR="00642C4B" w:rsidRPr="003732A8">
        <w:rPr>
          <w:rFonts w:cs="StoneSans-Italic"/>
          <w:color w:val="1B1C20"/>
          <w:sz w:val="24"/>
          <w:szCs w:val="24"/>
        </w:rPr>
        <w:t>sex</w:t>
      </w:r>
      <w:proofErr w:type="spellEnd"/>
      <w:r w:rsidR="00642C4B" w:rsidRPr="003732A8">
        <w:rPr>
          <w:rFonts w:cs="StoneSans-Italic"/>
          <w:color w:val="1B1C20"/>
          <w:sz w:val="24"/>
          <w:szCs w:val="24"/>
        </w:rPr>
        <w:t xml:space="preserve"> ratio : 2H/1F</w:t>
      </w:r>
    </w:p>
    <w:p w:rsidR="00E644D4" w:rsidRPr="003732A8" w:rsidRDefault="00372E10" w:rsidP="00E644D4">
      <w:pPr>
        <w:autoSpaceDE w:val="0"/>
        <w:autoSpaceDN w:val="0"/>
        <w:adjustRightInd w:val="0"/>
        <w:spacing w:after="0" w:line="240" w:lineRule="auto"/>
        <w:rPr>
          <w:rFonts w:cs="StoneSans-Italic"/>
          <w:color w:val="1B1C20"/>
          <w:sz w:val="24"/>
          <w:szCs w:val="24"/>
        </w:rPr>
      </w:pPr>
      <w:r w:rsidRPr="003732A8">
        <w:rPr>
          <w:rFonts w:cs="StoneSans-Italic"/>
          <w:color w:val="1B1C20"/>
          <w:sz w:val="24"/>
          <w:szCs w:val="24"/>
        </w:rPr>
        <w:t>Dans 80 % des cas, il s’agit de carcinome à cellules</w:t>
      </w:r>
      <w:r w:rsidR="00642C4B" w:rsidRPr="003732A8">
        <w:rPr>
          <w:rFonts w:cs="StoneSans-Italic"/>
          <w:color w:val="1B1C20"/>
          <w:sz w:val="24"/>
          <w:szCs w:val="24"/>
        </w:rPr>
        <w:t xml:space="preserve"> </w:t>
      </w:r>
      <w:r w:rsidRPr="003732A8">
        <w:rPr>
          <w:rFonts w:cs="StoneSans-Italic"/>
          <w:color w:val="1B1C20"/>
          <w:sz w:val="24"/>
          <w:szCs w:val="24"/>
        </w:rPr>
        <w:t xml:space="preserve">rénales. </w:t>
      </w:r>
    </w:p>
    <w:p w:rsidR="00642C4B" w:rsidRPr="003732A8" w:rsidRDefault="00372E10" w:rsidP="00E644D4">
      <w:pPr>
        <w:autoSpaceDE w:val="0"/>
        <w:autoSpaceDN w:val="0"/>
        <w:adjustRightInd w:val="0"/>
        <w:spacing w:after="0" w:line="240" w:lineRule="auto"/>
        <w:rPr>
          <w:rFonts w:cs="StoneSans-Italic"/>
          <w:color w:val="1B1C20"/>
          <w:sz w:val="24"/>
          <w:szCs w:val="24"/>
        </w:rPr>
      </w:pPr>
      <w:r w:rsidRPr="003732A8">
        <w:rPr>
          <w:rFonts w:cs="StoneSans-Italic"/>
          <w:color w:val="1B1C20"/>
          <w:sz w:val="24"/>
          <w:szCs w:val="24"/>
        </w:rPr>
        <w:t>Les facteurs pronost</w:t>
      </w:r>
      <w:r w:rsidR="00642C4B" w:rsidRPr="003732A8">
        <w:rPr>
          <w:rFonts w:cs="StoneSans-Italic"/>
          <w:color w:val="1B1C20"/>
          <w:sz w:val="24"/>
          <w:szCs w:val="24"/>
        </w:rPr>
        <w:t>ique</w:t>
      </w:r>
      <w:r w:rsidR="00E644D4" w:rsidRPr="003732A8">
        <w:rPr>
          <w:rFonts w:cs="StoneSans-Italic"/>
          <w:color w:val="1B1C20"/>
          <w:sz w:val="24"/>
          <w:szCs w:val="24"/>
        </w:rPr>
        <w:t>s</w:t>
      </w:r>
      <w:r w:rsidR="00642C4B" w:rsidRPr="003732A8">
        <w:rPr>
          <w:rFonts w:cs="StoneSans-Italic"/>
          <w:color w:val="1B1C20"/>
          <w:sz w:val="24"/>
          <w:szCs w:val="24"/>
        </w:rPr>
        <w:t> :</w:t>
      </w:r>
    </w:p>
    <w:p w:rsidR="00642C4B" w:rsidRPr="003732A8" w:rsidRDefault="00E644D4" w:rsidP="0090087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toneSans-Italic"/>
          <w:color w:val="1B1C20"/>
          <w:sz w:val="24"/>
          <w:szCs w:val="24"/>
        </w:rPr>
      </w:pPr>
      <w:r w:rsidRPr="003732A8">
        <w:rPr>
          <w:rFonts w:cs="StoneSans-Italic"/>
          <w:color w:val="1B1C20"/>
          <w:sz w:val="24"/>
          <w:szCs w:val="24"/>
        </w:rPr>
        <w:t>C</w:t>
      </w:r>
      <w:r w:rsidR="00372E10" w:rsidRPr="003732A8">
        <w:rPr>
          <w:rFonts w:cs="StoneSans-Italic"/>
          <w:color w:val="1B1C20"/>
          <w:sz w:val="24"/>
          <w:szCs w:val="24"/>
        </w:rPr>
        <w:t xml:space="preserve">liniques (symptômes et </w:t>
      </w:r>
      <w:r w:rsidR="00372E10" w:rsidRPr="003732A8">
        <w:rPr>
          <w:rFonts w:cs="StoneSans"/>
          <w:color w:val="1B1C20"/>
          <w:sz w:val="24"/>
          <w:szCs w:val="24"/>
        </w:rPr>
        <w:t>performance</w:t>
      </w:r>
      <w:r w:rsidR="00642C4B" w:rsidRPr="003732A8">
        <w:rPr>
          <w:rFonts w:cs="StoneSans-Italic"/>
          <w:color w:val="1B1C20"/>
          <w:sz w:val="24"/>
          <w:szCs w:val="24"/>
        </w:rPr>
        <w:t xml:space="preserve"> </w:t>
      </w:r>
      <w:proofErr w:type="spellStart"/>
      <w:r w:rsidR="00372E10" w:rsidRPr="003732A8">
        <w:rPr>
          <w:rFonts w:cs="StoneSans"/>
          <w:color w:val="1B1C20"/>
          <w:sz w:val="24"/>
          <w:szCs w:val="24"/>
        </w:rPr>
        <w:t>status</w:t>
      </w:r>
      <w:proofErr w:type="spellEnd"/>
      <w:r w:rsidR="00372E10" w:rsidRPr="003732A8">
        <w:rPr>
          <w:rFonts w:cs="StoneSans-Italic"/>
          <w:color w:val="1B1C20"/>
          <w:sz w:val="24"/>
          <w:szCs w:val="24"/>
        </w:rPr>
        <w:t>),</w:t>
      </w:r>
    </w:p>
    <w:p w:rsidR="00642C4B" w:rsidRPr="003732A8" w:rsidRDefault="00E644D4" w:rsidP="0090087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StoneSans-Italic"/>
          <w:color w:val="1B1C20"/>
          <w:sz w:val="24"/>
          <w:szCs w:val="24"/>
        </w:rPr>
      </w:pPr>
      <w:r w:rsidRPr="003732A8">
        <w:rPr>
          <w:rFonts w:cs="StoneSans-Italic"/>
          <w:color w:val="1B1C20"/>
          <w:sz w:val="24"/>
          <w:szCs w:val="24"/>
        </w:rPr>
        <w:t xml:space="preserve"> H</w:t>
      </w:r>
      <w:r w:rsidR="00372E10" w:rsidRPr="003732A8">
        <w:rPr>
          <w:rFonts w:cs="StoneSans-Italic"/>
          <w:color w:val="1B1C20"/>
          <w:sz w:val="24"/>
          <w:szCs w:val="24"/>
        </w:rPr>
        <w:t xml:space="preserve">istologiques (la classification </w:t>
      </w:r>
      <w:proofErr w:type="spellStart"/>
      <w:r w:rsidR="00372E10" w:rsidRPr="003732A8">
        <w:rPr>
          <w:rFonts w:cs="StoneSans-Italic"/>
          <w:color w:val="1B1C20"/>
          <w:sz w:val="24"/>
          <w:szCs w:val="24"/>
        </w:rPr>
        <w:t>pTNM</w:t>
      </w:r>
      <w:proofErr w:type="spellEnd"/>
      <w:r w:rsidR="00372E10" w:rsidRPr="003732A8">
        <w:rPr>
          <w:rFonts w:cs="StoneSans-Italic"/>
          <w:color w:val="1B1C20"/>
          <w:sz w:val="24"/>
          <w:szCs w:val="24"/>
        </w:rPr>
        <w:t xml:space="preserve"> 2009, le sous-type histologique, le grade de </w:t>
      </w:r>
      <w:proofErr w:type="spellStart"/>
      <w:r w:rsidR="00372E10" w:rsidRPr="003732A8">
        <w:rPr>
          <w:rFonts w:cs="StoneSans-Italic"/>
          <w:color w:val="1B1C20"/>
          <w:sz w:val="24"/>
          <w:szCs w:val="24"/>
        </w:rPr>
        <w:t>Fuhrman</w:t>
      </w:r>
      <w:proofErr w:type="spellEnd"/>
      <w:r w:rsidR="00372E10" w:rsidRPr="003732A8">
        <w:rPr>
          <w:rFonts w:cs="StoneSans-Italic"/>
          <w:color w:val="1B1C20"/>
          <w:sz w:val="24"/>
          <w:szCs w:val="24"/>
        </w:rPr>
        <w:t>, le</w:t>
      </w:r>
      <w:r w:rsidRPr="003732A8">
        <w:rPr>
          <w:rFonts w:cs="StoneSans-Italic"/>
          <w:color w:val="1B1C20"/>
          <w:sz w:val="24"/>
          <w:szCs w:val="24"/>
        </w:rPr>
        <w:t xml:space="preserve"> </w:t>
      </w:r>
      <w:r w:rsidR="00372E10" w:rsidRPr="003732A8">
        <w:rPr>
          <w:rFonts w:cs="StoneSans-Italic"/>
          <w:color w:val="1B1C20"/>
          <w:sz w:val="24"/>
          <w:szCs w:val="24"/>
        </w:rPr>
        <w:t xml:space="preserve">contingent </w:t>
      </w:r>
      <w:proofErr w:type="spellStart"/>
      <w:r w:rsidR="00372E10" w:rsidRPr="003732A8">
        <w:rPr>
          <w:rFonts w:cs="StoneSans-Italic"/>
          <w:color w:val="1B1C20"/>
          <w:sz w:val="24"/>
          <w:szCs w:val="24"/>
        </w:rPr>
        <w:t>sarcomatoïde</w:t>
      </w:r>
      <w:proofErr w:type="spellEnd"/>
      <w:r w:rsidR="00372E10" w:rsidRPr="003732A8">
        <w:rPr>
          <w:rFonts w:cs="StoneSans-Italic"/>
          <w:color w:val="1B1C20"/>
          <w:sz w:val="24"/>
          <w:szCs w:val="24"/>
        </w:rPr>
        <w:t xml:space="preserve"> et la nécrose tumorale). </w:t>
      </w:r>
    </w:p>
    <w:p w:rsidR="00642C4B" w:rsidRPr="003732A8" w:rsidRDefault="00372E10" w:rsidP="00642C4B">
      <w:pPr>
        <w:autoSpaceDE w:val="0"/>
        <w:autoSpaceDN w:val="0"/>
        <w:adjustRightInd w:val="0"/>
        <w:spacing w:after="0" w:line="240" w:lineRule="auto"/>
        <w:rPr>
          <w:rFonts w:cs="StoneSans-Italic"/>
          <w:color w:val="1B1C20"/>
          <w:sz w:val="24"/>
          <w:szCs w:val="24"/>
        </w:rPr>
      </w:pPr>
      <w:r w:rsidRPr="003732A8">
        <w:rPr>
          <w:rFonts w:cs="StoneSans-Italic"/>
          <w:color w:val="1B1C20"/>
          <w:sz w:val="24"/>
          <w:szCs w:val="24"/>
        </w:rPr>
        <w:t>L’é</w:t>
      </w:r>
      <w:r w:rsidR="00642C4B" w:rsidRPr="003732A8">
        <w:rPr>
          <w:rFonts w:cs="StoneSans-Italic"/>
          <w:color w:val="1B1C20"/>
          <w:sz w:val="24"/>
          <w:szCs w:val="24"/>
        </w:rPr>
        <w:t xml:space="preserve">chographie abdominale </w:t>
      </w:r>
      <w:r w:rsidRPr="003732A8">
        <w:rPr>
          <w:rFonts w:cs="StoneSans-Italic"/>
          <w:color w:val="1B1C20"/>
          <w:sz w:val="24"/>
          <w:szCs w:val="24"/>
        </w:rPr>
        <w:t xml:space="preserve"> a permis</w:t>
      </w:r>
      <w:r w:rsidR="00642C4B" w:rsidRPr="003732A8">
        <w:rPr>
          <w:rFonts w:cs="StoneSans-Italic"/>
          <w:color w:val="1B1C20"/>
          <w:sz w:val="24"/>
          <w:szCs w:val="24"/>
        </w:rPr>
        <w:t xml:space="preserve"> </w:t>
      </w:r>
      <w:r w:rsidRPr="003732A8">
        <w:rPr>
          <w:rFonts w:cs="StoneSans-Italic"/>
          <w:color w:val="1B1C20"/>
          <w:sz w:val="24"/>
          <w:szCs w:val="24"/>
        </w:rPr>
        <w:t xml:space="preserve">d’augmenter le taux de découverte fortuite à 70 %. </w:t>
      </w:r>
    </w:p>
    <w:p w:rsidR="00642C4B" w:rsidRPr="003732A8" w:rsidRDefault="00642C4B" w:rsidP="00642C4B">
      <w:pPr>
        <w:autoSpaceDE w:val="0"/>
        <w:autoSpaceDN w:val="0"/>
        <w:adjustRightInd w:val="0"/>
        <w:spacing w:after="0" w:line="240" w:lineRule="auto"/>
        <w:rPr>
          <w:rFonts w:cs="StoneSans-Italic"/>
          <w:color w:val="1B1C20"/>
          <w:sz w:val="24"/>
          <w:szCs w:val="24"/>
        </w:rPr>
      </w:pPr>
      <w:r w:rsidRPr="003732A8">
        <w:rPr>
          <w:rFonts w:cs="StoneSans-Italic"/>
          <w:color w:val="1B1C20"/>
          <w:sz w:val="24"/>
          <w:szCs w:val="24"/>
        </w:rPr>
        <w:t>La TDM l</w:t>
      </w:r>
      <w:r w:rsidR="00372E10" w:rsidRPr="003732A8">
        <w:rPr>
          <w:rFonts w:cs="StoneSans-Italic"/>
          <w:color w:val="1B1C20"/>
          <w:sz w:val="24"/>
          <w:szCs w:val="24"/>
        </w:rPr>
        <w:t>’examen de référence</w:t>
      </w:r>
      <w:r w:rsidRPr="003732A8">
        <w:rPr>
          <w:rFonts w:cs="StoneSans-Italic"/>
          <w:color w:val="1B1C20"/>
          <w:sz w:val="24"/>
          <w:szCs w:val="24"/>
        </w:rPr>
        <w:t xml:space="preserve"> </w:t>
      </w:r>
      <w:r w:rsidR="00372E10" w:rsidRPr="003732A8">
        <w:rPr>
          <w:rFonts w:cs="StoneSans-Italic"/>
          <w:color w:val="1B1C20"/>
          <w:sz w:val="24"/>
          <w:szCs w:val="24"/>
        </w:rPr>
        <w:t>p</w:t>
      </w:r>
      <w:r w:rsidRPr="003732A8">
        <w:rPr>
          <w:rFonts w:cs="StoneSans-Italic"/>
          <w:color w:val="1B1C20"/>
          <w:sz w:val="24"/>
          <w:szCs w:val="24"/>
        </w:rPr>
        <w:t xml:space="preserve">our le diagnostic positif, </w:t>
      </w:r>
      <w:r w:rsidR="00372E10" w:rsidRPr="003732A8">
        <w:rPr>
          <w:rFonts w:cs="StoneSans-Italic"/>
          <w:color w:val="1B1C20"/>
          <w:sz w:val="24"/>
          <w:szCs w:val="24"/>
        </w:rPr>
        <w:t>l’</w:t>
      </w:r>
      <w:r w:rsidRPr="003732A8">
        <w:rPr>
          <w:rFonts w:cs="StoneSans-Italic"/>
          <w:color w:val="1B1C20"/>
          <w:sz w:val="24"/>
          <w:szCs w:val="24"/>
        </w:rPr>
        <w:t>IRM</w:t>
      </w:r>
      <w:r w:rsidR="00FD3084">
        <w:rPr>
          <w:rFonts w:cs="StoneSans-Italic"/>
          <w:color w:val="1B1C20"/>
          <w:sz w:val="24"/>
          <w:szCs w:val="24"/>
        </w:rPr>
        <w:t xml:space="preserve">  </w:t>
      </w:r>
      <w:r w:rsidR="00372E10" w:rsidRPr="003732A8">
        <w:rPr>
          <w:rFonts w:cs="StoneSans-Italic"/>
          <w:color w:val="1B1C20"/>
          <w:sz w:val="24"/>
          <w:szCs w:val="24"/>
        </w:rPr>
        <w:t xml:space="preserve"> améliorent l’analyse des petites lésions et des kystes compliqués ou suspects. </w:t>
      </w:r>
    </w:p>
    <w:p w:rsidR="00642C4B" w:rsidRPr="003732A8" w:rsidRDefault="00372E10" w:rsidP="00642C4B">
      <w:pPr>
        <w:autoSpaceDE w:val="0"/>
        <w:autoSpaceDN w:val="0"/>
        <w:adjustRightInd w:val="0"/>
        <w:spacing w:after="0" w:line="240" w:lineRule="auto"/>
        <w:rPr>
          <w:rFonts w:cs="StoneSans-Italic"/>
          <w:color w:val="1B1C20"/>
          <w:sz w:val="24"/>
          <w:szCs w:val="24"/>
        </w:rPr>
      </w:pPr>
      <w:r w:rsidRPr="003732A8">
        <w:rPr>
          <w:rFonts w:cs="StoneSans-Italic"/>
          <w:color w:val="1B1C20"/>
          <w:sz w:val="24"/>
          <w:szCs w:val="24"/>
        </w:rPr>
        <w:t>Le seul</w:t>
      </w:r>
      <w:r w:rsidR="00642C4B" w:rsidRPr="003732A8">
        <w:rPr>
          <w:rFonts w:cs="StoneSans-Italic"/>
          <w:color w:val="1B1C20"/>
          <w:sz w:val="24"/>
          <w:szCs w:val="24"/>
        </w:rPr>
        <w:t xml:space="preserve"> </w:t>
      </w:r>
      <w:r w:rsidRPr="003732A8">
        <w:rPr>
          <w:rFonts w:cs="StoneSans-Italic"/>
          <w:color w:val="1B1C20"/>
          <w:sz w:val="24"/>
          <w:szCs w:val="24"/>
        </w:rPr>
        <w:t>traitement curatif du cancer du rein est chirurgical</w:t>
      </w:r>
      <w:r w:rsidR="00642C4B" w:rsidRPr="003732A8">
        <w:rPr>
          <w:rFonts w:cs="StoneSans-Italic"/>
          <w:color w:val="1B1C20"/>
          <w:sz w:val="24"/>
          <w:szCs w:val="24"/>
        </w:rPr>
        <w:t> :</w:t>
      </w:r>
    </w:p>
    <w:p w:rsidR="00642C4B" w:rsidRPr="003732A8" w:rsidRDefault="00372E10" w:rsidP="0090087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StoneSans-Italic"/>
          <w:color w:val="1B1C20"/>
          <w:sz w:val="24"/>
          <w:szCs w:val="24"/>
        </w:rPr>
      </w:pPr>
      <w:r w:rsidRPr="003732A8">
        <w:rPr>
          <w:rFonts w:cs="StoneSans-Italic"/>
          <w:color w:val="1B1C20"/>
          <w:sz w:val="24"/>
          <w:szCs w:val="24"/>
        </w:rPr>
        <w:t>La prise en charge des cancers localisés évolue vers la</w:t>
      </w:r>
      <w:r w:rsidR="00642C4B" w:rsidRPr="003732A8">
        <w:rPr>
          <w:rFonts w:cs="StoneSans-Italic"/>
          <w:color w:val="1B1C20"/>
          <w:sz w:val="24"/>
          <w:szCs w:val="24"/>
        </w:rPr>
        <w:t xml:space="preserve"> </w:t>
      </w:r>
      <w:r w:rsidRPr="003732A8">
        <w:rPr>
          <w:rFonts w:cs="StoneSans-Italic"/>
          <w:color w:val="1B1C20"/>
          <w:sz w:val="24"/>
          <w:szCs w:val="24"/>
        </w:rPr>
        <w:t>chirurgie conservatrice</w:t>
      </w:r>
    </w:p>
    <w:p w:rsidR="00642C4B" w:rsidRPr="003732A8" w:rsidRDefault="00372E10" w:rsidP="0090087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StoneSans-Italic"/>
          <w:color w:val="1B1C20"/>
          <w:sz w:val="24"/>
          <w:szCs w:val="24"/>
        </w:rPr>
      </w:pPr>
      <w:r w:rsidRPr="003732A8">
        <w:rPr>
          <w:rFonts w:cs="StoneSans-Italic"/>
          <w:color w:val="1B1C20"/>
          <w:sz w:val="24"/>
          <w:szCs w:val="24"/>
        </w:rPr>
        <w:t>Le traitement de référence des cancers du rein localement avancés reste la</w:t>
      </w:r>
      <w:r w:rsidR="00642C4B" w:rsidRPr="003732A8">
        <w:rPr>
          <w:rFonts w:cs="StoneSans-Italic"/>
          <w:color w:val="1B1C20"/>
          <w:sz w:val="24"/>
          <w:szCs w:val="24"/>
        </w:rPr>
        <w:t xml:space="preserve"> </w:t>
      </w:r>
      <w:r w:rsidRPr="003732A8">
        <w:rPr>
          <w:rFonts w:cs="StoneSans-Italic"/>
          <w:color w:val="1B1C20"/>
          <w:sz w:val="24"/>
          <w:szCs w:val="24"/>
        </w:rPr>
        <w:t xml:space="preserve">néphrectomie totale élargie par voie ouverte. </w:t>
      </w:r>
    </w:p>
    <w:p w:rsidR="00372E10" w:rsidRPr="003732A8" w:rsidRDefault="00372E10" w:rsidP="0090087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StoneSans-Italic"/>
          <w:color w:val="1B1C20"/>
          <w:sz w:val="24"/>
          <w:szCs w:val="24"/>
        </w:rPr>
      </w:pPr>
      <w:r w:rsidRPr="003732A8">
        <w:rPr>
          <w:rFonts w:cs="StoneSans-Italic"/>
          <w:color w:val="1B1C20"/>
          <w:sz w:val="24"/>
          <w:szCs w:val="24"/>
        </w:rPr>
        <w:t xml:space="preserve">Au stade métastatique, l’utilisation des </w:t>
      </w:r>
      <w:proofErr w:type="spellStart"/>
      <w:r w:rsidRPr="003732A8">
        <w:rPr>
          <w:rFonts w:cs="StoneSans-Italic"/>
          <w:color w:val="1B1C20"/>
          <w:sz w:val="24"/>
          <w:szCs w:val="24"/>
        </w:rPr>
        <w:t>antiangiogéniques</w:t>
      </w:r>
      <w:proofErr w:type="spellEnd"/>
      <w:r w:rsidR="00642C4B" w:rsidRPr="003732A8">
        <w:rPr>
          <w:rFonts w:cs="StoneSans-Italic"/>
          <w:color w:val="1B1C20"/>
          <w:sz w:val="24"/>
          <w:szCs w:val="24"/>
        </w:rPr>
        <w:t xml:space="preserve"> </w:t>
      </w:r>
      <w:r w:rsidRPr="003732A8">
        <w:rPr>
          <w:rFonts w:cs="StoneSans-Italic"/>
          <w:color w:val="1B1C20"/>
          <w:sz w:val="24"/>
          <w:szCs w:val="24"/>
        </w:rPr>
        <w:t>est devenue le traitement de première intention après la réalisation de la néphrectomie totale élargie</w:t>
      </w:r>
    </w:p>
    <w:p w:rsidR="00E644D4" w:rsidRPr="003732A8" w:rsidRDefault="00E644D4" w:rsidP="00E644D4">
      <w:pPr>
        <w:autoSpaceDE w:val="0"/>
        <w:autoSpaceDN w:val="0"/>
        <w:adjustRightInd w:val="0"/>
        <w:spacing w:after="0" w:line="240" w:lineRule="auto"/>
        <w:rPr>
          <w:rFonts w:cs="StoneSans-Italic"/>
          <w:color w:val="1B1C20"/>
          <w:sz w:val="24"/>
          <w:szCs w:val="24"/>
        </w:rPr>
      </w:pPr>
      <w:r w:rsidRPr="003732A8">
        <w:rPr>
          <w:rFonts w:cs="GentiumBookBasic-Italic"/>
          <w:sz w:val="24"/>
          <w:szCs w:val="24"/>
        </w:rPr>
        <w:t>La survie globale du cancer à 5 ans est de 63% tous stades confondus.</w:t>
      </w:r>
    </w:p>
    <w:p w:rsidR="00E644D4" w:rsidRPr="003732A8" w:rsidRDefault="00E644D4" w:rsidP="00E644D4">
      <w:pPr>
        <w:autoSpaceDE w:val="0"/>
        <w:autoSpaceDN w:val="0"/>
        <w:adjustRightInd w:val="0"/>
        <w:spacing w:after="0" w:line="240" w:lineRule="auto"/>
        <w:rPr>
          <w:rFonts w:cs="StoneSans-Bold"/>
          <w:b/>
          <w:bCs/>
          <w:color w:val="004DA0"/>
          <w:sz w:val="24"/>
          <w:szCs w:val="24"/>
        </w:rPr>
      </w:pPr>
      <w:r w:rsidRPr="003732A8">
        <w:rPr>
          <w:rFonts w:cs="StoneSans-Bold"/>
          <w:b/>
          <w:bCs/>
          <w:color w:val="004DA0"/>
          <w:sz w:val="24"/>
          <w:szCs w:val="24"/>
        </w:rPr>
        <w:t>Épidémiologie</w:t>
      </w:r>
      <w:r w:rsidR="00134E8F" w:rsidRPr="003732A8">
        <w:rPr>
          <w:rFonts w:cs="StoneSans-Bold"/>
          <w:b/>
          <w:bCs/>
          <w:color w:val="004DA0"/>
          <w:sz w:val="24"/>
          <w:szCs w:val="24"/>
        </w:rPr>
        <w:t> :</w:t>
      </w:r>
    </w:p>
    <w:p w:rsidR="00134E8F" w:rsidRPr="003732A8" w:rsidRDefault="00134E8F" w:rsidP="00134E8F">
      <w:pPr>
        <w:autoSpaceDE w:val="0"/>
        <w:autoSpaceDN w:val="0"/>
        <w:adjustRightInd w:val="0"/>
        <w:spacing w:after="0" w:line="240" w:lineRule="auto"/>
        <w:rPr>
          <w:rFonts w:cs="StoneSans-Semibold"/>
          <w:color w:val="004DA0"/>
          <w:sz w:val="24"/>
          <w:szCs w:val="24"/>
        </w:rPr>
      </w:pPr>
      <w:r w:rsidRPr="003732A8">
        <w:rPr>
          <w:rFonts w:cs="StoneSans-Semibold"/>
          <w:color w:val="004DA0"/>
          <w:sz w:val="24"/>
          <w:szCs w:val="24"/>
        </w:rPr>
        <w:t>Épidémiologie descriptive</w:t>
      </w:r>
    </w:p>
    <w:p w:rsidR="00134E8F" w:rsidRPr="003732A8" w:rsidRDefault="00134E8F" w:rsidP="00134E8F">
      <w:p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3732A8">
        <w:rPr>
          <w:rFonts w:cs="StoneSerif"/>
          <w:color w:val="1B1C20"/>
          <w:sz w:val="24"/>
          <w:szCs w:val="24"/>
        </w:rPr>
        <w:t>Le cancer du rein est le 3</w:t>
      </w:r>
      <w:r w:rsidRPr="003732A8">
        <w:rPr>
          <w:rFonts w:cs="StoneSerif"/>
          <w:color w:val="1B1C20"/>
          <w:sz w:val="24"/>
          <w:szCs w:val="24"/>
          <w:vertAlign w:val="superscript"/>
        </w:rPr>
        <w:t>eme</w:t>
      </w:r>
      <w:r w:rsidRPr="003732A8">
        <w:rPr>
          <w:rFonts w:cs="StoneSerif"/>
          <w:color w:val="1B1C20"/>
          <w:sz w:val="24"/>
          <w:szCs w:val="24"/>
        </w:rPr>
        <w:t xml:space="preserve"> cancer le plus fréquent de l’appareil urogénital, après ceux de la prostate et de la vessie. </w:t>
      </w:r>
    </w:p>
    <w:p w:rsidR="00134E8F" w:rsidRPr="003732A8" w:rsidRDefault="00134E8F" w:rsidP="00405C71">
      <w:p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3732A8">
        <w:rPr>
          <w:rFonts w:cs="StoneSerif"/>
          <w:color w:val="1B1C20"/>
          <w:sz w:val="24"/>
          <w:szCs w:val="24"/>
        </w:rPr>
        <w:t>Il représente 3 % des cancers solides de l’adulte et est la 6</w:t>
      </w:r>
      <w:r w:rsidRPr="003732A8">
        <w:rPr>
          <w:rFonts w:cs="StoneSerif"/>
          <w:color w:val="1B1C20"/>
          <w:sz w:val="24"/>
          <w:szCs w:val="24"/>
          <w:vertAlign w:val="superscript"/>
        </w:rPr>
        <w:t>eme</w:t>
      </w:r>
      <w:r w:rsidRPr="003732A8">
        <w:rPr>
          <w:rFonts w:cs="StoneSerif"/>
          <w:color w:val="1B1C20"/>
          <w:sz w:val="24"/>
          <w:szCs w:val="24"/>
        </w:rPr>
        <w:t xml:space="preserve"> cause de décès par cancer dans les pays industrialisés</w:t>
      </w:r>
      <w:r w:rsidR="00405C71">
        <w:rPr>
          <w:rFonts w:cs="StoneSerif"/>
          <w:color w:val="1B1C20"/>
          <w:sz w:val="24"/>
          <w:szCs w:val="24"/>
        </w:rPr>
        <w:t>.</w:t>
      </w:r>
    </w:p>
    <w:p w:rsidR="00134E8F" w:rsidRPr="003732A8" w:rsidRDefault="00134E8F" w:rsidP="00405C71">
      <w:p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3732A8">
        <w:rPr>
          <w:rFonts w:cs="StoneSerif"/>
          <w:color w:val="1B1C20"/>
          <w:sz w:val="24"/>
          <w:szCs w:val="24"/>
        </w:rPr>
        <w:t xml:space="preserve">L’âge médian au diagnostic est de 67 ans chez les hommes et de 70 ans chez les femmes </w:t>
      </w:r>
    </w:p>
    <w:p w:rsidR="00134E8F" w:rsidRPr="003732A8" w:rsidRDefault="00134E8F" w:rsidP="00134E8F">
      <w:p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3732A8">
        <w:rPr>
          <w:rFonts w:cs="GentiumBookBasic-Italic"/>
          <w:sz w:val="24"/>
          <w:szCs w:val="24"/>
        </w:rPr>
        <w:t>La survie globale du cancer à 5 ans est de 63% tous stades confondus</w:t>
      </w:r>
      <w:r w:rsidR="00405C71">
        <w:rPr>
          <w:rFonts w:cs="GentiumBookBasic-Italic"/>
          <w:sz w:val="24"/>
          <w:szCs w:val="24"/>
        </w:rPr>
        <w:t>.</w:t>
      </w:r>
    </w:p>
    <w:p w:rsidR="00072CDE" w:rsidRPr="00405C71" w:rsidRDefault="00072CDE" w:rsidP="00072CDE">
      <w:pPr>
        <w:autoSpaceDE w:val="0"/>
        <w:autoSpaceDN w:val="0"/>
        <w:adjustRightInd w:val="0"/>
        <w:spacing w:after="0" w:line="240" w:lineRule="auto"/>
        <w:rPr>
          <w:rFonts w:cs="StoneSans-Semibold"/>
          <w:b/>
          <w:bCs/>
          <w:color w:val="004DA0"/>
          <w:sz w:val="24"/>
          <w:szCs w:val="24"/>
        </w:rPr>
      </w:pPr>
      <w:r w:rsidRPr="00405C71">
        <w:rPr>
          <w:rFonts w:cs="StoneSans-Semibold"/>
          <w:b/>
          <w:bCs/>
          <w:color w:val="004DA0"/>
          <w:sz w:val="24"/>
          <w:szCs w:val="24"/>
        </w:rPr>
        <w:t>Facteurs de risque</w:t>
      </w:r>
    </w:p>
    <w:p w:rsidR="00072CDE" w:rsidRPr="003732A8" w:rsidRDefault="00072CDE" w:rsidP="00072CDE">
      <w:pPr>
        <w:autoSpaceDE w:val="0"/>
        <w:autoSpaceDN w:val="0"/>
        <w:adjustRightInd w:val="0"/>
        <w:spacing w:after="0" w:line="240" w:lineRule="auto"/>
        <w:rPr>
          <w:rFonts w:cs="StoneSans-Bold"/>
          <w:b/>
          <w:bCs/>
          <w:color w:val="004DA0"/>
          <w:sz w:val="24"/>
          <w:szCs w:val="24"/>
        </w:rPr>
      </w:pPr>
      <w:r w:rsidRPr="003732A8">
        <w:rPr>
          <w:rFonts w:cs="StoneSans-Bold"/>
          <w:b/>
          <w:bCs/>
          <w:color w:val="004DA0"/>
          <w:sz w:val="24"/>
          <w:szCs w:val="24"/>
        </w:rPr>
        <w:t>Facteurs de risque liés au patient</w:t>
      </w:r>
    </w:p>
    <w:p w:rsidR="00072CDE" w:rsidRPr="003732A8" w:rsidRDefault="00072CDE" w:rsidP="00072CDE">
      <w:pPr>
        <w:autoSpaceDE w:val="0"/>
        <w:autoSpaceDN w:val="0"/>
        <w:adjustRightInd w:val="0"/>
        <w:spacing w:after="0" w:line="240" w:lineRule="auto"/>
        <w:rPr>
          <w:rFonts w:cs="StoneSerif-Semibold"/>
          <w:color w:val="004DA0"/>
          <w:sz w:val="24"/>
          <w:szCs w:val="24"/>
        </w:rPr>
      </w:pPr>
      <w:r w:rsidRPr="003732A8">
        <w:rPr>
          <w:rFonts w:cs="StoneSerif-Semibold"/>
          <w:color w:val="004DA0"/>
          <w:sz w:val="24"/>
          <w:szCs w:val="24"/>
        </w:rPr>
        <w:t>Facteurs génétiques</w:t>
      </w:r>
    </w:p>
    <w:p w:rsidR="00072CDE" w:rsidRPr="003732A8" w:rsidRDefault="00072CDE" w:rsidP="00072BBB">
      <w:p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3732A8">
        <w:rPr>
          <w:rFonts w:cs="StoneSerif"/>
          <w:color w:val="1B1C20"/>
          <w:sz w:val="24"/>
          <w:szCs w:val="24"/>
        </w:rPr>
        <w:t>Les formes héréditaires de cancer du rein sont r</w:t>
      </w:r>
      <w:r w:rsidR="00072BBB">
        <w:rPr>
          <w:rFonts w:cs="StoneSerif"/>
          <w:color w:val="1B1C20"/>
          <w:sz w:val="24"/>
          <w:szCs w:val="24"/>
        </w:rPr>
        <w:t>ares (2 % des cancers du rein)</w:t>
      </w:r>
      <w:r w:rsidRPr="003732A8">
        <w:rPr>
          <w:rFonts w:cs="StoneSerif"/>
          <w:color w:val="1B1C20"/>
          <w:sz w:val="24"/>
          <w:szCs w:val="24"/>
        </w:rPr>
        <w:t xml:space="preserve">. </w:t>
      </w:r>
    </w:p>
    <w:p w:rsidR="00072CDE" w:rsidRPr="003732A8" w:rsidRDefault="00072CDE" w:rsidP="00A15505">
      <w:p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3732A8">
        <w:rPr>
          <w:rFonts w:cs="StoneSerif-Semibold"/>
          <w:color w:val="1B1C20"/>
          <w:sz w:val="24"/>
          <w:szCs w:val="24"/>
        </w:rPr>
        <w:t>Syndromes héréditaires</w:t>
      </w:r>
      <w:r w:rsidR="00A15505" w:rsidRPr="003732A8">
        <w:rPr>
          <w:rFonts w:cs="StoneSerif-Semibold"/>
          <w:color w:val="1B1C20"/>
          <w:sz w:val="24"/>
          <w:szCs w:val="24"/>
        </w:rPr>
        <w:t> </w:t>
      </w:r>
      <w:r w:rsidR="00A15505" w:rsidRPr="003732A8">
        <w:rPr>
          <w:rFonts w:cs="StoneSerif"/>
          <w:color w:val="1B1C20"/>
          <w:sz w:val="24"/>
          <w:szCs w:val="24"/>
        </w:rPr>
        <w:t>:</w:t>
      </w:r>
    </w:p>
    <w:p w:rsidR="005E6C00" w:rsidRPr="003732A8" w:rsidRDefault="00072CDE" w:rsidP="0090087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3732A8">
        <w:rPr>
          <w:rFonts w:cs="StoneSerif-Italic"/>
          <w:i/>
          <w:iCs/>
          <w:color w:val="1B1C20"/>
          <w:sz w:val="24"/>
          <w:szCs w:val="24"/>
        </w:rPr>
        <w:t xml:space="preserve">Maladie de </w:t>
      </w:r>
      <w:proofErr w:type="spellStart"/>
      <w:r w:rsidRPr="003732A8">
        <w:rPr>
          <w:rFonts w:cs="StoneSerif-Italic"/>
          <w:i/>
          <w:iCs/>
          <w:color w:val="1B1C20"/>
          <w:sz w:val="24"/>
          <w:szCs w:val="24"/>
        </w:rPr>
        <w:t>von</w:t>
      </w:r>
      <w:proofErr w:type="spellEnd"/>
      <w:r w:rsidRPr="003732A8">
        <w:rPr>
          <w:rFonts w:cs="StoneSerif-Italic"/>
          <w:i/>
          <w:iCs/>
          <w:color w:val="1B1C20"/>
          <w:sz w:val="24"/>
          <w:szCs w:val="24"/>
        </w:rPr>
        <w:t xml:space="preserve"> </w:t>
      </w:r>
      <w:proofErr w:type="spellStart"/>
      <w:r w:rsidRPr="003732A8">
        <w:rPr>
          <w:rFonts w:cs="StoneSerif-Italic"/>
          <w:i/>
          <w:iCs/>
          <w:color w:val="1B1C20"/>
          <w:sz w:val="24"/>
          <w:szCs w:val="24"/>
        </w:rPr>
        <w:t>Hippel</w:t>
      </w:r>
      <w:proofErr w:type="spellEnd"/>
      <w:r w:rsidRPr="003732A8">
        <w:rPr>
          <w:rFonts w:cs="StoneSerif-Italic"/>
          <w:i/>
          <w:iCs/>
          <w:color w:val="1B1C20"/>
          <w:sz w:val="24"/>
          <w:szCs w:val="24"/>
        </w:rPr>
        <w:t xml:space="preserve">-Lindau </w:t>
      </w:r>
      <w:r w:rsidRPr="003732A8">
        <w:rPr>
          <w:rFonts w:cs="StoneSerif"/>
          <w:color w:val="1B1C20"/>
          <w:sz w:val="24"/>
          <w:szCs w:val="24"/>
        </w:rPr>
        <w:t>(</w:t>
      </w:r>
      <w:r w:rsidRPr="003732A8">
        <w:rPr>
          <w:rFonts w:cs="StoneSerif-Italic"/>
          <w:i/>
          <w:iCs/>
          <w:color w:val="1B1C20"/>
          <w:sz w:val="24"/>
          <w:szCs w:val="24"/>
        </w:rPr>
        <w:t>VHL</w:t>
      </w:r>
      <w:r w:rsidR="00A15505" w:rsidRPr="003732A8">
        <w:rPr>
          <w:rFonts w:cs="StoneSerif"/>
          <w:color w:val="1B1C20"/>
          <w:sz w:val="24"/>
          <w:szCs w:val="24"/>
        </w:rPr>
        <w:t>) :</w:t>
      </w:r>
    </w:p>
    <w:p w:rsidR="00072CDE" w:rsidRPr="00072BBB" w:rsidRDefault="00072CDE" w:rsidP="00072BBB">
      <w:pPr>
        <w:pStyle w:val="Paragraphedeliste"/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3732A8">
        <w:rPr>
          <w:rFonts w:cs="StoneSerif"/>
          <w:color w:val="1B1C20"/>
          <w:sz w:val="24"/>
          <w:szCs w:val="24"/>
        </w:rPr>
        <w:t>C’est la cause la plus</w:t>
      </w:r>
      <w:r w:rsidR="00A15505" w:rsidRPr="003732A8">
        <w:rPr>
          <w:rFonts w:cs="StoneSerif"/>
          <w:color w:val="1B1C20"/>
          <w:sz w:val="24"/>
          <w:szCs w:val="24"/>
        </w:rPr>
        <w:t xml:space="preserve"> </w:t>
      </w:r>
      <w:r w:rsidRPr="003732A8">
        <w:rPr>
          <w:rFonts w:cs="StoneSerif"/>
          <w:color w:val="1B1C20"/>
          <w:sz w:val="24"/>
          <w:szCs w:val="24"/>
        </w:rPr>
        <w:t xml:space="preserve">fréquente des formes familiales de cancer du rein. La </w:t>
      </w:r>
      <w:r w:rsidR="00A15505" w:rsidRPr="003732A8">
        <w:rPr>
          <w:rFonts w:cs="StoneSerif"/>
          <w:color w:val="1B1C20"/>
          <w:sz w:val="24"/>
          <w:szCs w:val="24"/>
        </w:rPr>
        <w:t>VHL</w:t>
      </w:r>
      <w:r w:rsidRPr="003732A8">
        <w:rPr>
          <w:rFonts w:cs="StoneSerif"/>
          <w:color w:val="1B1C20"/>
          <w:sz w:val="24"/>
          <w:szCs w:val="24"/>
        </w:rPr>
        <w:t xml:space="preserve"> est une </w:t>
      </w:r>
      <w:proofErr w:type="spellStart"/>
      <w:r w:rsidRPr="003732A8">
        <w:rPr>
          <w:rFonts w:cs="StoneSerif"/>
          <w:color w:val="1B1C20"/>
          <w:sz w:val="24"/>
          <w:szCs w:val="24"/>
        </w:rPr>
        <w:t>phacomatose</w:t>
      </w:r>
      <w:proofErr w:type="spellEnd"/>
      <w:r w:rsidRPr="003732A8">
        <w:rPr>
          <w:rFonts w:cs="StoneSerif"/>
          <w:color w:val="1B1C20"/>
          <w:sz w:val="24"/>
          <w:szCs w:val="24"/>
        </w:rPr>
        <w:t xml:space="preserve"> héréditaire </w:t>
      </w:r>
      <w:proofErr w:type="gramStart"/>
      <w:r w:rsidRPr="003732A8">
        <w:rPr>
          <w:rFonts w:cs="StoneSerif"/>
          <w:color w:val="1B1C20"/>
          <w:sz w:val="24"/>
          <w:szCs w:val="24"/>
        </w:rPr>
        <w:t>rare</w:t>
      </w:r>
      <w:r w:rsidR="00A15505" w:rsidRPr="003732A8">
        <w:rPr>
          <w:rFonts w:cs="StoneSerif"/>
          <w:color w:val="1B1C20"/>
          <w:sz w:val="24"/>
          <w:szCs w:val="24"/>
        </w:rPr>
        <w:t xml:space="preserve"> </w:t>
      </w:r>
      <w:r w:rsidR="00072BBB">
        <w:rPr>
          <w:rFonts w:cs="StoneSerif"/>
          <w:color w:val="1B1C20"/>
          <w:sz w:val="24"/>
          <w:szCs w:val="24"/>
        </w:rPr>
        <w:t>.</w:t>
      </w:r>
      <w:proofErr w:type="gramEnd"/>
    </w:p>
    <w:p w:rsidR="005E6C00" w:rsidRPr="003732A8" w:rsidRDefault="00072CDE" w:rsidP="0090087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3732A8">
        <w:rPr>
          <w:rFonts w:cs="StoneSerif-Italic"/>
          <w:i/>
          <w:iCs/>
          <w:color w:val="1B1C20"/>
          <w:sz w:val="24"/>
          <w:szCs w:val="24"/>
        </w:rPr>
        <w:t>CCR conventionnelles, familial et non lié à VHL</w:t>
      </w:r>
      <w:r w:rsidRPr="003732A8">
        <w:rPr>
          <w:rFonts w:cs="StoneSerif"/>
          <w:color w:val="1B1C20"/>
          <w:sz w:val="24"/>
          <w:szCs w:val="24"/>
        </w:rPr>
        <w:t xml:space="preserve">. </w:t>
      </w:r>
    </w:p>
    <w:p w:rsidR="005E6C00" w:rsidRPr="003732A8" w:rsidRDefault="005E6C00" w:rsidP="005E6C00">
      <w:pPr>
        <w:pStyle w:val="Paragraphedeliste"/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3732A8">
        <w:rPr>
          <w:rFonts w:cs="StoneSerif"/>
          <w:color w:val="1B1C20"/>
          <w:sz w:val="24"/>
          <w:szCs w:val="24"/>
        </w:rPr>
        <w:t xml:space="preserve"> </w:t>
      </w:r>
    </w:p>
    <w:p w:rsidR="005E6C00" w:rsidRPr="003732A8" w:rsidRDefault="00072CDE" w:rsidP="0090087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3732A8">
        <w:rPr>
          <w:rFonts w:cs="StoneSerif-Italic"/>
          <w:i/>
          <w:iCs/>
          <w:color w:val="1B1C20"/>
          <w:sz w:val="24"/>
          <w:szCs w:val="24"/>
        </w:rPr>
        <w:lastRenderedPageBreak/>
        <w:t>CCR papillaire héréditaire</w:t>
      </w:r>
      <w:r w:rsidRPr="003732A8">
        <w:rPr>
          <w:rFonts w:cs="StoneSerif"/>
          <w:color w:val="1B1C20"/>
          <w:sz w:val="24"/>
          <w:szCs w:val="24"/>
        </w:rPr>
        <w:t xml:space="preserve">. </w:t>
      </w:r>
    </w:p>
    <w:p w:rsidR="005E6C00" w:rsidRPr="003732A8" w:rsidRDefault="005E6C00" w:rsidP="005E6C00">
      <w:pPr>
        <w:pStyle w:val="Paragraphedeliste"/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3732A8">
        <w:rPr>
          <w:rFonts w:cs="StoneSerif-Italic"/>
          <w:i/>
          <w:iCs/>
          <w:color w:val="1B1C20"/>
          <w:sz w:val="24"/>
          <w:szCs w:val="24"/>
        </w:rPr>
        <w:t>.</w:t>
      </w:r>
    </w:p>
    <w:p w:rsidR="005E6C00" w:rsidRPr="003732A8" w:rsidRDefault="005E6C00" w:rsidP="0090087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3732A8">
        <w:rPr>
          <w:rFonts w:cs="StoneSerif-Italic"/>
          <w:i/>
          <w:iCs/>
          <w:color w:val="1B1C20"/>
          <w:sz w:val="24"/>
          <w:szCs w:val="24"/>
        </w:rPr>
        <w:t xml:space="preserve">Syndrome de </w:t>
      </w:r>
      <w:proofErr w:type="spellStart"/>
      <w:r w:rsidRPr="003732A8">
        <w:rPr>
          <w:rFonts w:cs="StoneSerif-Italic"/>
          <w:i/>
          <w:iCs/>
          <w:color w:val="1B1C20"/>
          <w:sz w:val="24"/>
          <w:szCs w:val="24"/>
        </w:rPr>
        <w:t>Birt</w:t>
      </w:r>
      <w:proofErr w:type="spellEnd"/>
      <w:r w:rsidRPr="003732A8">
        <w:rPr>
          <w:rFonts w:cs="StoneSerif-Italic"/>
          <w:i/>
          <w:iCs/>
          <w:color w:val="1B1C20"/>
          <w:sz w:val="24"/>
          <w:szCs w:val="24"/>
        </w:rPr>
        <w:t>-</w:t>
      </w:r>
      <w:proofErr w:type="spellStart"/>
      <w:r w:rsidRPr="003732A8">
        <w:rPr>
          <w:rFonts w:cs="StoneSerif-Italic"/>
          <w:i/>
          <w:iCs/>
          <w:color w:val="1B1C20"/>
          <w:sz w:val="24"/>
          <w:szCs w:val="24"/>
        </w:rPr>
        <w:t>Hogg</w:t>
      </w:r>
      <w:proofErr w:type="spellEnd"/>
      <w:r w:rsidRPr="003732A8">
        <w:rPr>
          <w:rFonts w:cs="StoneSerif-Italic"/>
          <w:i/>
          <w:iCs/>
          <w:color w:val="1B1C20"/>
          <w:sz w:val="24"/>
          <w:szCs w:val="24"/>
        </w:rPr>
        <w:t>-</w:t>
      </w:r>
      <w:proofErr w:type="spellStart"/>
      <w:r w:rsidRPr="003732A8">
        <w:rPr>
          <w:rFonts w:cs="StoneSerif-Italic"/>
          <w:i/>
          <w:iCs/>
          <w:color w:val="1B1C20"/>
          <w:sz w:val="24"/>
          <w:szCs w:val="24"/>
        </w:rPr>
        <w:t>Dubé</w:t>
      </w:r>
      <w:proofErr w:type="spellEnd"/>
      <w:r w:rsidRPr="003732A8">
        <w:rPr>
          <w:rFonts w:cs="StoneSerif-Italic"/>
          <w:color w:val="1B1C20"/>
          <w:sz w:val="24"/>
          <w:szCs w:val="24"/>
        </w:rPr>
        <w:t> </w:t>
      </w:r>
    </w:p>
    <w:p w:rsidR="005E6C00" w:rsidRPr="003732A8" w:rsidRDefault="005E6C00" w:rsidP="0090087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3732A8">
        <w:rPr>
          <w:rFonts w:cs="StoneSerif-Italic"/>
          <w:i/>
          <w:iCs/>
          <w:color w:val="1B1C20"/>
          <w:sz w:val="24"/>
          <w:szCs w:val="24"/>
        </w:rPr>
        <w:t xml:space="preserve">Sclérose tubéreuse de </w:t>
      </w:r>
      <w:proofErr w:type="spellStart"/>
      <w:r w:rsidRPr="003732A8">
        <w:rPr>
          <w:rFonts w:cs="StoneSerif-Italic"/>
          <w:i/>
          <w:iCs/>
          <w:color w:val="1B1C20"/>
          <w:sz w:val="24"/>
          <w:szCs w:val="24"/>
        </w:rPr>
        <w:t>Bourneville</w:t>
      </w:r>
      <w:proofErr w:type="spellEnd"/>
      <w:r w:rsidRPr="003732A8">
        <w:rPr>
          <w:rFonts w:cs="StoneSerif-Italic"/>
          <w:color w:val="1B1C20"/>
          <w:sz w:val="24"/>
          <w:szCs w:val="24"/>
        </w:rPr>
        <w:t> </w:t>
      </w:r>
      <w:r w:rsidRPr="003732A8">
        <w:rPr>
          <w:rFonts w:cs="StoneSerif"/>
          <w:color w:val="1B1C20"/>
          <w:sz w:val="24"/>
          <w:szCs w:val="24"/>
        </w:rPr>
        <w:t xml:space="preserve">: Elle est associée à des </w:t>
      </w:r>
      <w:proofErr w:type="spellStart"/>
      <w:r w:rsidRPr="003732A8">
        <w:rPr>
          <w:rFonts w:cs="StoneSerif"/>
          <w:color w:val="1B1C20"/>
          <w:sz w:val="24"/>
          <w:szCs w:val="24"/>
        </w:rPr>
        <w:t>angiomyolipomes</w:t>
      </w:r>
      <w:proofErr w:type="spellEnd"/>
      <w:r w:rsidRPr="003732A8">
        <w:rPr>
          <w:rFonts w:cs="StoneSerif"/>
          <w:color w:val="1B1C20"/>
          <w:sz w:val="24"/>
          <w:szCs w:val="24"/>
        </w:rPr>
        <w:t xml:space="preserve"> et des kystes rén</w:t>
      </w:r>
      <w:r w:rsidR="00072BBB">
        <w:rPr>
          <w:rFonts w:cs="StoneSerif"/>
          <w:color w:val="1B1C20"/>
          <w:sz w:val="24"/>
          <w:szCs w:val="24"/>
        </w:rPr>
        <w:t>aux multiples.</w:t>
      </w:r>
    </w:p>
    <w:p w:rsidR="005E6C00" w:rsidRPr="003732A8" w:rsidRDefault="005E6C00" w:rsidP="0090087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proofErr w:type="spellStart"/>
      <w:r w:rsidRPr="003732A8">
        <w:rPr>
          <w:rFonts w:cs="StoneSerif-Italic"/>
          <w:i/>
          <w:iCs/>
          <w:color w:val="1B1C20"/>
          <w:sz w:val="24"/>
          <w:szCs w:val="24"/>
        </w:rPr>
        <w:t>Léiomyomatose</w:t>
      </w:r>
      <w:proofErr w:type="spellEnd"/>
      <w:r w:rsidRPr="003732A8">
        <w:rPr>
          <w:rFonts w:cs="StoneSerif-Italic"/>
          <w:i/>
          <w:iCs/>
          <w:color w:val="1B1C20"/>
          <w:sz w:val="24"/>
          <w:szCs w:val="24"/>
        </w:rPr>
        <w:t xml:space="preserve"> héréditaire</w:t>
      </w:r>
      <w:r w:rsidRPr="003732A8">
        <w:rPr>
          <w:rFonts w:cs="StoneSerif-Italic"/>
          <w:color w:val="1B1C20"/>
          <w:sz w:val="24"/>
          <w:szCs w:val="24"/>
        </w:rPr>
        <w:t> </w:t>
      </w:r>
    </w:p>
    <w:p w:rsidR="00B664E7" w:rsidRPr="003732A8" w:rsidRDefault="00B664E7" w:rsidP="00B664E7">
      <w:pPr>
        <w:autoSpaceDE w:val="0"/>
        <w:autoSpaceDN w:val="0"/>
        <w:adjustRightInd w:val="0"/>
        <w:spacing w:after="0" w:line="240" w:lineRule="auto"/>
        <w:rPr>
          <w:rFonts w:cs="StoneSerif-Semibold"/>
          <w:color w:val="004DA0"/>
          <w:sz w:val="24"/>
          <w:szCs w:val="24"/>
        </w:rPr>
      </w:pPr>
      <w:r w:rsidRPr="003732A8">
        <w:rPr>
          <w:rFonts w:cs="StoneSerif-Semibold"/>
          <w:color w:val="004DA0"/>
          <w:sz w:val="24"/>
          <w:szCs w:val="24"/>
        </w:rPr>
        <w:t>Insuffisance rénale chez les patients dialysés</w:t>
      </w:r>
    </w:p>
    <w:p w:rsidR="00B664E7" w:rsidRPr="003732A8" w:rsidRDefault="00B664E7" w:rsidP="00B664E7">
      <w:p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3732A8">
        <w:rPr>
          <w:rFonts w:cs="StoneSerif"/>
          <w:color w:val="1B1C20"/>
          <w:sz w:val="24"/>
          <w:szCs w:val="24"/>
        </w:rPr>
        <w:t>Le risque  est 10 fois plus important chez les patients et IR</w:t>
      </w:r>
      <w:r w:rsidR="00257EE3" w:rsidRPr="003732A8">
        <w:rPr>
          <w:rFonts w:cs="StoneSerif"/>
          <w:color w:val="1B1C20"/>
          <w:sz w:val="24"/>
          <w:szCs w:val="24"/>
        </w:rPr>
        <w:t>T</w:t>
      </w:r>
      <w:r w:rsidRPr="003732A8">
        <w:rPr>
          <w:rFonts w:cs="StoneSerif"/>
          <w:color w:val="1B1C20"/>
          <w:sz w:val="24"/>
          <w:szCs w:val="24"/>
        </w:rPr>
        <w:t xml:space="preserve"> qui sont dialysés que dan</w:t>
      </w:r>
      <w:r w:rsidR="00072BBB">
        <w:rPr>
          <w:rFonts w:cs="StoneSerif"/>
          <w:color w:val="1B1C20"/>
          <w:sz w:val="24"/>
          <w:szCs w:val="24"/>
        </w:rPr>
        <w:t xml:space="preserve">s la population générale. Ce </w:t>
      </w:r>
      <w:r w:rsidRPr="003732A8">
        <w:rPr>
          <w:rFonts w:cs="StoneSerif"/>
          <w:color w:val="1B1C20"/>
          <w:sz w:val="24"/>
          <w:szCs w:val="24"/>
        </w:rPr>
        <w:t>risque justifie une surveillance échographique annuelle des reins chez les patients dialysés.</w:t>
      </w:r>
    </w:p>
    <w:p w:rsidR="00B664E7" w:rsidRPr="003732A8" w:rsidRDefault="00B664E7" w:rsidP="00B664E7">
      <w:pPr>
        <w:autoSpaceDE w:val="0"/>
        <w:autoSpaceDN w:val="0"/>
        <w:adjustRightInd w:val="0"/>
        <w:spacing w:after="0" w:line="240" w:lineRule="auto"/>
        <w:rPr>
          <w:rFonts w:cs="StoneSerif-Semibold"/>
          <w:color w:val="004DA0"/>
          <w:sz w:val="24"/>
          <w:szCs w:val="24"/>
        </w:rPr>
      </w:pPr>
    </w:p>
    <w:p w:rsidR="00B664E7" w:rsidRPr="003732A8" w:rsidRDefault="00B664E7" w:rsidP="00B664E7">
      <w:pPr>
        <w:autoSpaceDE w:val="0"/>
        <w:autoSpaceDN w:val="0"/>
        <w:adjustRightInd w:val="0"/>
        <w:spacing w:after="0" w:line="240" w:lineRule="auto"/>
        <w:rPr>
          <w:rFonts w:cs="StoneSerif-Semibold"/>
          <w:color w:val="004DA0"/>
          <w:sz w:val="24"/>
          <w:szCs w:val="24"/>
        </w:rPr>
      </w:pPr>
    </w:p>
    <w:p w:rsidR="00B664E7" w:rsidRPr="003732A8" w:rsidRDefault="00B664E7" w:rsidP="00B664E7">
      <w:pPr>
        <w:autoSpaceDE w:val="0"/>
        <w:autoSpaceDN w:val="0"/>
        <w:adjustRightInd w:val="0"/>
        <w:spacing w:after="0" w:line="240" w:lineRule="auto"/>
        <w:rPr>
          <w:rFonts w:cs="StoneSerif-Semibold"/>
          <w:color w:val="004DA0"/>
          <w:sz w:val="24"/>
          <w:szCs w:val="24"/>
        </w:rPr>
      </w:pPr>
      <w:r w:rsidRPr="003732A8">
        <w:rPr>
          <w:rFonts w:cs="StoneSerif-Semibold"/>
          <w:color w:val="004DA0"/>
          <w:sz w:val="24"/>
          <w:szCs w:val="24"/>
        </w:rPr>
        <w:t>Patients transplantés</w:t>
      </w:r>
    </w:p>
    <w:p w:rsidR="00B664E7" w:rsidRDefault="00B664E7" w:rsidP="00B664E7">
      <w:p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3732A8">
        <w:rPr>
          <w:rFonts w:cs="StoneSerif"/>
          <w:color w:val="1B1C20"/>
          <w:sz w:val="24"/>
          <w:szCs w:val="24"/>
        </w:rPr>
        <w:t>Les reins natifs sont principalement exposés au développement d’un carcinome rénal chez l</w:t>
      </w:r>
      <w:r w:rsidR="00072BBB">
        <w:rPr>
          <w:rFonts w:cs="StoneSerif"/>
          <w:color w:val="1B1C20"/>
          <w:sz w:val="24"/>
          <w:szCs w:val="24"/>
        </w:rPr>
        <w:t xml:space="preserve">es patients transplantés. Le </w:t>
      </w:r>
      <w:r w:rsidRPr="003732A8">
        <w:rPr>
          <w:rFonts w:cs="StoneSerif"/>
          <w:color w:val="1B1C20"/>
          <w:sz w:val="24"/>
          <w:szCs w:val="24"/>
        </w:rPr>
        <w:t>risque de cancer du rein est au moins identique à celui des patients dialysés, voire plus élevé.</w:t>
      </w:r>
    </w:p>
    <w:p w:rsidR="00072BBB" w:rsidRPr="003732A8" w:rsidRDefault="00072BBB" w:rsidP="00B664E7">
      <w:p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</w:p>
    <w:p w:rsidR="00B664E7" w:rsidRPr="003732A8" w:rsidRDefault="00B664E7" w:rsidP="00B664E7">
      <w:pPr>
        <w:autoSpaceDE w:val="0"/>
        <w:autoSpaceDN w:val="0"/>
        <w:adjustRightInd w:val="0"/>
        <w:spacing w:after="0" w:line="240" w:lineRule="auto"/>
        <w:rPr>
          <w:rFonts w:cs="StoneSerif-Semibold"/>
          <w:color w:val="004DA0"/>
          <w:sz w:val="24"/>
          <w:szCs w:val="24"/>
        </w:rPr>
      </w:pPr>
      <w:r w:rsidRPr="003732A8">
        <w:rPr>
          <w:rFonts w:cs="StoneSerif-Semibold"/>
          <w:color w:val="004DA0"/>
          <w:sz w:val="24"/>
          <w:szCs w:val="24"/>
        </w:rPr>
        <w:t>Hypertension artérielle</w:t>
      </w:r>
    </w:p>
    <w:p w:rsidR="00B664E7" w:rsidRPr="003732A8" w:rsidRDefault="00B664E7" w:rsidP="001C6AB8">
      <w:p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3732A8">
        <w:rPr>
          <w:rFonts w:cs="StoneSerif"/>
          <w:color w:val="1B1C20"/>
          <w:sz w:val="24"/>
          <w:szCs w:val="24"/>
        </w:rPr>
        <w:t xml:space="preserve"> </w:t>
      </w:r>
    </w:p>
    <w:p w:rsidR="001C6AB8" w:rsidRPr="003732A8" w:rsidRDefault="00B664E7" w:rsidP="001C6AB8">
      <w:pPr>
        <w:autoSpaceDE w:val="0"/>
        <w:autoSpaceDN w:val="0"/>
        <w:adjustRightInd w:val="0"/>
        <w:spacing w:after="0" w:line="240" w:lineRule="auto"/>
        <w:rPr>
          <w:rFonts w:cs="StoneSerif-Semibold"/>
          <w:color w:val="004DA0"/>
          <w:sz w:val="24"/>
          <w:szCs w:val="24"/>
        </w:rPr>
      </w:pPr>
      <w:r w:rsidRPr="003732A8">
        <w:rPr>
          <w:rFonts w:cs="StoneSerif-Semibold"/>
          <w:color w:val="004DA0"/>
          <w:sz w:val="24"/>
          <w:szCs w:val="24"/>
        </w:rPr>
        <w:t>Obésité</w:t>
      </w:r>
    </w:p>
    <w:p w:rsidR="00B664E7" w:rsidRPr="003732A8" w:rsidRDefault="00B664E7" w:rsidP="001C6AB8">
      <w:pPr>
        <w:autoSpaceDE w:val="0"/>
        <w:autoSpaceDN w:val="0"/>
        <w:adjustRightInd w:val="0"/>
        <w:spacing w:after="0" w:line="240" w:lineRule="auto"/>
        <w:rPr>
          <w:rFonts w:cs="StoneSerif-Semibold"/>
          <w:color w:val="004DA0"/>
          <w:sz w:val="24"/>
          <w:szCs w:val="24"/>
        </w:rPr>
      </w:pPr>
      <w:r w:rsidRPr="003732A8">
        <w:rPr>
          <w:rFonts w:cs="StoneSerif"/>
          <w:color w:val="1B1C20"/>
          <w:sz w:val="24"/>
          <w:szCs w:val="24"/>
        </w:rPr>
        <w:t xml:space="preserve"> </w:t>
      </w:r>
    </w:p>
    <w:p w:rsidR="00B664E7" w:rsidRPr="003732A8" w:rsidRDefault="00B664E7" w:rsidP="00B664E7">
      <w:pPr>
        <w:autoSpaceDE w:val="0"/>
        <w:autoSpaceDN w:val="0"/>
        <w:adjustRightInd w:val="0"/>
        <w:spacing w:after="0" w:line="240" w:lineRule="auto"/>
        <w:rPr>
          <w:rFonts w:cs="StoneSerif-Semibold"/>
          <w:color w:val="004DA0"/>
          <w:sz w:val="24"/>
          <w:szCs w:val="24"/>
        </w:rPr>
      </w:pPr>
      <w:r w:rsidRPr="003732A8">
        <w:rPr>
          <w:rFonts w:cs="StoneSerif-Semibold"/>
          <w:color w:val="004DA0"/>
          <w:sz w:val="24"/>
          <w:szCs w:val="24"/>
        </w:rPr>
        <w:t>Diabète</w:t>
      </w:r>
    </w:p>
    <w:p w:rsidR="00B664E7" w:rsidRPr="003732A8" w:rsidRDefault="00B664E7" w:rsidP="001C6AB8">
      <w:p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</w:p>
    <w:p w:rsidR="00B664E7" w:rsidRPr="003732A8" w:rsidRDefault="00B664E7" w:rsidP="00B664E7">
      <w:pPr>
        <w:autoSpaceDE w:val="0"/>
        <w:autoSpaceDN w:val="0"/>
        <w:adjustRightInd w:val="0"/>
        <w:spacing w:after="0" w:line="240" w:lineRule="auto"/>
        <w:rPr>
          <w:rFonts w:cs="StoneSerif-Semibold"/>
          <w:color w:val="004DA0"/>
          <w:sz w:val="24"/>
          <w:szCs w:val="24"/>
        </w:rPr>
      </w:pPr>
      <w:r w:rsidRPr="003732A8">
        <w:rPr>
          <w:rFonts w:cs="StoneSerif-Semibold"/>
          <w:color w:val="004DA0"/>
          <w:sz w:val="24"/>
          <w:szCs w:val="24"/>
        </w:rPr>
        <w:t>Facteurs hormonaux</w:t>
      </w:r>
    </w:p>
    <w:p w:rsidR="00B664E7" w:rsidRPr="003732A8" w:rsidRDefault="00B664E7" w:rsidP="001C6AB8">
      <w:p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</w:p>
    <w:p w:rsidR="00257EE3" w:rsidRPr="003732A8" w:rsidRDefault="00257EE3" w:rsidP="00257EE3">
      <w:pPr>
        <w:autoSpaceDE w:val="0"/>
        <w:autoSpaceDN w:val="0"/>
        <w:adjustRightInd w:val="0"/>
        <w:spacing w:after="0" w:line="240" w:lineRule="auto"/>
        <w:rPr>
          <w:rFonts w:cs="StoneSans-Bold"/>
          <w:b/>
          <w:bCs/>
          <w:color w:val="004DA0"/>
          <w:sz w:val="24"/>
          <w:szCs w:val="24"/>
        </w:rPr>
      </w:pPr>
      <w:r w:rsidRPr="003732A8">
        <w:rPr>
          <w:rFonts w:cs="StoneSans-Bold"/>
          <w:b/>
          <w:bCs/>
          <w:color w:val="004DA0"/>
          <w:sz w:val="24"/>
          <w:szCs w:val="24"/>
        </w:rPr>
        <w:t>Facteurs environnementaux</w:t>
      </w:r>
    </w:p>
    <w:p w:rsidR="00257EE3" w:rsidRPr="003732A8" w:rsidRDefault="00072BBB" w:rsidP="00257EE3">
      <w:pPr>
        <w:autoSpaceDE w:val="0"/>
        <w:autoSpaceDN w:val="0"/>
        <w:adjustRightInd w:val="0"/>
        <w:spacing w:after="0" w:line="240" w:lineRule="auto"/>
        <w:rPr>
          <w:rFonts w:cs="StoneSerif-Semibold"/>
          <w:color w:val="004DA0"/>
          <w:sz w:val="24"/>
          <w:szCs w:val="24"/>
        </w:rPr>
      </w:pPr>
      <w:r>
        <w:rPr>
          <w:rFonts w:cs="StoneSerif-Semibold"/>
          <w:color w:val="004DA0"/>
          <w:sz w:val="24"/>
          <w:szCs w:val="24"/>
        </w:rPr>
        <w:t xml:space="preserve">    </w:t>
      </w:r>
      <w:r w:rsidR="008A6EAC">
        <w:rPr>
          <w:rFonts w:cs="StoneSerif-Semibold"/>
          <w:color w:val="004DA0"/>
          <w:sz w:val="24"/>
          <w:szCs w:val="24"/>
        </w:rPr>
        <w:t>1/-</w:t>
      </w:r>
      <w:r w:rsidR="00257EE3" w:rsidRPr="003732A8">
        <w:rPr>
          <w:rFonts w:cs="StoneSerif-Semibold"/>
          <w:color w:val="004DA0"/>
          <w:sz w:val="24"/>
          <w:szCs w:val="24"/>
        </w:rPr>
        <w:t>Tabagisme</w:t>
      </w:r>
    </w:p>
    <w:p w:rsidR="00257EE3" w:rsidRPr="003732A8" w:rsidRDefault="00072BBB" w:rsidP="00072BBB">
      <w:pPr>
        <w:autoSpaceDE w:val="0"/>
        <w:autoSpaceDN w:val="0"/>
        <w:adjustRightInd w:val="0"/>
        <w:spacing w:after="0" w:line="240" w:lineRule="auto"/>
        <w:rPr>
          <w:rFonts w:cs="StoneSerif-Semibold"/>
          <w:color w:val="004DA0"/>
          <w:sz w:val="24"/>
          <w:szCs w:val="24"/>
        </w:rPr>
      </w:pPr>
      <w:r>
        <w:rPr>
          <w:rFonts w:cs="StoneSerif"/>
          <w:color w:val="1B1C20"/>
          <w:sz w:val="24"/>
          <w:szCs w:val="24"/>
        </w:rPr>
        <w:t xml:space="preserve">   </w:t>
      </w:r>
      <w:r w:rsidR="008A6EAC">
        <w:rPr>
          <w:rFonts w:cs="StoneSerif"/>
          <w:color w:val="1B1C20"/>
          <w:sz w:val="24"/>
          <w:szCs w:val="24"/>
        </w:rPr>
        <w:t xml:space="preserve"> 2/-</w:t>
      </w:r>
      <w:r>
        <w:rPr>
          <w:rFonts w:cs="StoneSerif"/>
          <w:color w:val="1B1C20"/>
          <w:sz w:val="24"/>
          <w:szCs w:val="24"/>
        </w:rPr>
        <w:t xml:space="preserve"> </w:t>
      </w:r>
      <w:r w:rsidR="00257EE3" w:rsidRPr="003732A8">
        <w:rPr>
          <w:rFonts w:cs="StoneSerif-Semibold"/>
          <w:color w:val="004DA0"/>
          <w:sz w:val="24"/>
          <w:szCs w:val="24"/>
        </w:rPr>
        <w:t>Exposition professionnelle</w:t>
      </w:r>
    </w:p>
    <w:p w:rsidR="00257EE3" w:rsidRPr="00072BBB" w:rsidRDefault="00072BBB" w:rsidP="00072BBB">
      <w:pPr>
        <w:autoSpaceDE w:val="0"/>
        <w:autoSpaceDN w:val="0"/>
        <w:adjustRightInd w:val="0"/>
        <w:spacing w:after="0" w:line="240" w:lineRule="auto"/>
        <w:rPr>
          <w:rFonts w:cs="StoneSerif-Semibold"/>
          <w:color w:val="004DA0"/>
          <w:sz w:val="24"/>
          <w:szCs w:val="24"/>
        </w:rPr>
      </w:pPr>
      <w:r>
        <w:rPr>
          <w:rFonts w:cs="StoneSerif-Semibold"/>
          <w:color w:val="004DA0"/>
          <w:sz w:val="24"/>
          <w:szCs w:val="24"/>
        </w:rPr>
        <w:t xml:space="preserve">    </w:t>
      </w:r>
      <w:r w:rsidR="008A6EAC">
        <w:rPr>
          <w:rFonts w:cs="StoneSerif-Semibold"/>
          <w:color w:val="004DA0"/>
          <w:sz w:val="24"/>
          <w:szCs w:val="24"/>
        </w:rPr>
        <w:t>3/-</w:t>
      </w:r>
      <w:r w:rsidR="00257EE3" w:rsidRPr="003732A8">
        <w:rPr>
          <w:rFonts w:cs="StoneSerif-Semibold"/>
          <w:color w:val="004DA0"/>
          <w:sz w:val="24"/>
          <w:szCs w:val="24"/>
        </w:rPr>
        <w:t>Alimentation</w:t>
      </w:r>
    </w:p>
    <w:p w:rsidR="00257EE3" w:rsidRDefault="00072BBB" w:rsidP="008A6EAC">
      <w:pPr>
        <w:autoSpaceDE w:val="0"/>
        <w:autoSpaceDN w:val="0"/>
        <w:adjustRightInd w:val="0"/>
        <w:spacing w:after="0" w:line="240" w:lineRule="auto"/>
        <w:rPr>
          <w:rFonts w:cs="StoneSerif-Semibold"/>
          <w:color w:val="004DA0"/>
          <w:sz w:val="24"/>
          <w:szCs w:val="24"/>
        </w:rPr>
      </w:pPr>
      <w:r>
        <w:rPr>
          <w:rFonts w:cs="StoneSerif-Semibold"/>
          <w:color w:val="004DA0"/>
          <w:sz w:val="24"/>
          <w:szCs w:val="24"/>
        </w:rPr>
        <w:t xml:space="preserve">    </w:t>
      </w:r>
      <w:r w:rsidR="008A6EAC">
        <w:rPr>
          <w:rFonts w:cs="StoneSerif-Semibold"/>
          <w:color w:val="004DA0"/>
          <w:sz w:val="24"/>
          <w:szCs w:val="24"/>
        </w:rPr>
        <w:t>4/-</w:t>
      </w:r>
      <w:r w:rsidR="00257EE3" w:rsidRPr="003732A8">
        <w:rPr>
          <w:rFonts w:cs="StoneSerif-Semibold"/>
          <w:color w:val="004DA0"/>
          <w:sz w:val="24"/>
          <w:szCs w:val="24"/>
        </w:rPr>
        <w:t>Alcoolisme</w:t>
      </w:r>
    </w:p>
    <w:p w:rsidR="000848EE" w:rsidRPr="008A6EAC" w:rsidRDefault="008A6EAC" w:rsidP="008A6EAC">
      <w:pPr>
        <w:autoSpaceDE w:val="0"/>
        <w:autoSpaceDN w:val="0"/>
        <w:adjustRightInd w:val="0"/>
        <w:spacing w:after="0" w:line="240" w:lineRule="auto"/>
        <w:rPr>
          <w:rFonts w:cs="StoneSerif-Semibold"/>
          <w:color w:val="004DA0"/>
          <w:sz w:val="24"/>
          <w:szCs w:val="24"/>
        </w:rPr>
      </w:pPr>
      <w:r>
        <w:rPr>
          <w:rFonts w:cs="StoneSerif-Semibold"/>
          <w:color w:val="004DA0"/>
          <w:sz w:val="24"/>
          <w:szCs w:val="24"/>
        </w:rPr>
        <w:t xml:space="preserve"> </w:t>
      </w:r>
    </w:p>
    <w:p w:rsidR="00B3621F" w:rsidRPr="008A6EAC" w:rsidRDefault="00757447" w:rsidP="008A6EAC">
      <w:pPr>
        <w:autoSpaceDE w:val="0"/>
        <w:autoSpaceDN w:val="0"/>
        <w:adjustRightInd w:val="0"/>
        <w:rPr>
          <w:rFonts w:cs="GentiumBookBasic-Bold"/>
          <w:sz w:val="24"/>
          <w:szCs w:val="24"/>
        </w:rPr>
      </w:pPr>
      <w:r w:rsidRPr="003732A8">
        <w:rPr>
          <w:rFonts w:cs="StoneSans-Bold"/>
          <w:b/>
          <w:bCs/>
          <w:color w:val="004DA0"/>
          <w:sz w:val="24"/>
          <w:szCs w:val="24"/>
        </w:rPr>
        <w:t>Anatomie pathologique du cancer du rein</w:t>
      </w:r>
    </w:p>
    <w:p w:rsidR="0046720A" w:rsidRPr="003732A8" w:rsidRDefault="0035185C" w:rsidP="0046720A">
      <w:pPr>
        <w:autoSpaceDE w:val="0"/>
        <w:autoSpaceDN w:val="0"/>
        <w:adjustRightInd w:val="0"/>
        <w:spacing w:after="0" w:line="240" w:lineRule="auto"/>
        <w:rPr>
          <w:rFonts w:cs="StoneSans-Semibold"/>
          <w:color w:val="004DA0"/>
          <w:sz w:val="24"/>
          <w:szCs w:val="24"/>
        </w:rPr>
      </w:pPr>
      <w:r>
        <w:rPr>
          <w:rFonts w:cs="StoneSans-Bold"/>
          <w:b/>
          <w:bCs/>
          <w:color w:val="004DA0"/>
          <w:sz w:val="24"/>
          <w:szCs w:val="24"/>
        </w:rPr>
        <w:t xml:space="preserve">            </w:t>
      </w:r>
      <w:r w:rsidR="0046720A" w:rsidRPr="003732A8">
        <w:rPr>
          <w:rFonts w:cs="StoneSans-Semibold"/>
          <w:color w:val="004DA0"/>
          <w:sz w:val="24"/>
          <w:szCs w:val="24"/>
        </w:rPr>
        <w:t>Carcinome à cellules rénales</w:t>
      </w:r>
    </w:p>
    <w:p w:rsidR="0046720A" w:rsidRPr="003732A8" w:rsidRDefault="0046720A" w:rsidP="0046720A">
      <w:p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3732A8">
        <w:rPr>
          <w:rFonts w:cs="StoneSerif"/>
          <w:color w:val="1B1C20"/>
          <w:sz w:val="24"/>
          <w:szCs w:val="24"/>
        </w:rPr>
        <w:t xml:space="preserve"> </w:t>
      </w:r>
    </w:p>
    <w:p w:rsidR="0046720A" w:rsidRPr="003732A8" w:rsidRDefault="0046720A" w:rsidP="0046720A">
      <w:pPr>
        <w:rPr>
          <w:rFonts w:cs="StoneSans-Bold"/>
          <w:b/>
          <w:bCs/>
          <w:color w:val="004DA0"/>
          <w:sz w:val="24"/>
          <w:szCs w:val="24"/>
        </w:rPr>
      </w:pPr>
      <w:r w:rsidRPr="003732A8">
        <w:rPr>
          <w:rFonts w:cs="StoneSans-Bold"/>
          <w:b/>
          <w:bCs/>
          <w:color w:val="004DA0"/>
          <w:sz w:val="24"/>
          <w:szCs w:val="24"/>
        </w:rPr>
        <w:t>Quatre principaux types</w:t>
      </w:r>
    </w:p>
    <w:p w:rsidR="0046720A" w:rsidRPr="0035185C" w:rsidRDefault="0046720A" w:rsidP="0035185C">
      <w:pPr>
        <w:rPr>
          <w:rFonts w:cs="StoneSans-Bold"/>
          <w:b/>
          <w:bCs/>
          <w:color w:val="004DA0"/>
          <w:sz w:val="24"/>
          <w:szCs w:val="24"/>
        </w:rPr>
      </w:pPr>
      <w:r w:rsidRPr="003732A8">
        <w:rPr>
          <w:rFonts w:cs="StoneSerif-Semibold"/>
          <w:color w:val="004DA0"/>
          <w:sz w:val="24"/>
          <w:szCs w:val="24"/>
        </w:rPr>
        <w:t>Carcinome à cellules rénales claires (et/ou acidophiles)</w:t>
      </w:r>
      <w:r w:rsidRPr="003732A8">
        <w:rPr>
          <w:rFonts w:cs="StoneSans-Bold"/>
          <w:b/>
          <w:bCs/>
          <w:color w:val="004DA0"/>
          <w:sz w:val="24"/>
          <w:szCs w:val="24"/>
        </w:rPr>
        <w:t xml:space="preserve"> </w:t>
      </w:r>
      <w:r w:rsidRPr="003732A8">
        <w:rPr>
          <w:rFonts w:cs="StoneSerif-Semibold"/>
          <w:color w:val="004DA0"/>
          <w:sz w:val="24"/>
          <w:szCs w:val="24"/>
        </w:rPr>
        <w:t>ou conventionnel</w:t>
      </w:r>
    </w:p>
    <w:p w:rsidR="00900225" w:rsidRPr="003732A8" w:rsidRDefault="00900225" w:rsidP="00900225">
      <w:pPr>
        <w:autoSpaceDE w:val="0"/>
        <w:autoSpaceDN w:val="0"/>
        <w:adjustRightInd w:val="0"/>
        <w:spacing w:after="0" w:line="240" w:lineRule="auto"/>
        <w:rPr>
          <w:rFonts w:cs="StoneSerif-Semibold"/>
          <w:color w:val="004DA0"/>
          <w:sz w:val="24"/>
          <w:szCs w:val="24"/>
        </w:rPr>
      </w:pPr>
      <w:r w:rsidRPr="003732A8">
        <w:rPr>
          <w:rFonts w:cs="StoneSerif-Semibold"/>
          <w:color w:val="004DA0"/>
          <w:sz w:val="24"/>
          <w:szCs w:val="24"/>
        </w:rPr>
        <w:t>Carcinome à cellules rénales papillaire (</w:t>
      </w:r>
      <w:proofErr w:type="spellStart"/>
      <w:r w:rsidRPr="003732A8">
        <w:rPr>
          <w:rFonts w:cs="StoneSerif-Semibold"/>
          <w:color w:val="004DA0"/>
          <w:sz w:val="24"/>
          <w:szCs w:val="24"/>
        </w:rPr>
        <w:t>tubulopapillaire</w:t>
      </w:r>
      <w:proofErr w:type="spellEnd"/>
      <w:r w:rsidRPr="003732A8">
        <w:rPr>
          <w:rFonts w:cs="StoneSerif-Semibold"/>
          <w:color w:val="004DA0"/>
          <w:sz w:val="24"/>
          <w:szCs w:val="24"/>
        </w:rPr>
        <w:t>)</w:t>
      </w:r>
    </w:p>
    <w:p w:rsidR="00900225" w:rsidRPr="0035185C" w:rsidRDefault="00900225" w:rsidP="0035185C">
      <w:pPr>
        <w:pStyle w:val="Paragraphedeliste"/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</w:p>
    <w:p w:rsidR="004F2F12" w:rsidRPr="003732A8" w:rsidRDefault="004F2F12" w:rsidP="004F2F12">
      <w:pPr>
        <w:autoSpaceDE w:val="0"/>
        <w:autoSpaceDN w:val="0"/>
        <w:adjustRightInd w:val="0"/>
        <w:spacing w:after="0" w:line="240" w:lineRule="auto"/>
        <w:rPr>
          <w:rFonts w:cs="StoneSerif-Semibold"/>
          <w:color w:val="004DA0"/>
          <w:sz w:val="24"/>
          <w:szCs w:val="24"/>
        </w:rPr>
      </w:pPr>
      <w:r w:rsidRPr="003732A8">
        <w:rPr>
          <w:rFonts w:cs="StoneSerif-Semibold"/>
          <w:color w:val="004DA0"/>
          <w:sz w:val="24"/>
          <w:szCs w:val="24"/>
        </w:rPr>
        <w:t xml:space="preserve">Carcinome à cellules rénales </w:t>
      </w:r>
      <w:proofErr w:type="spellStart"/>
      <w:r w:rsidRPr="003732A8">
        <w:rPr>
          <w:rFonts w:cs="StoneSerif-Semibold"/>
          <w:color w:val="004DA0"/>
          <w:sz w:val="24"/>
          <w:szCs w:val="24"/>
        </w:rPr>
        <w:t>chromophobe</w:t>
      </w:r>
      <w:proofErr w:type="spellEnd"/>
    </w:p>
    <w:p w:rsidR="004F2F12" w:rsidRPr="0035185C" w:rsidRDefault="004F2F12" w:rsidP="0035185C">
      <w:pPr>
        <w:pStyle w:val="Paragraphedeliste"/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</w:p>
    <w:p w:rsidR="004F2F12" w:rsidRPr="003732A8" w:rsidRDefault="004F2F12" w:rsidP="004F2F12">
      <w:pPr>
        <w:autoSpaceDE w:val="0"/>
        <w:autoSpaceDN w:val="0"/>
        <w:adjustRightInd w:val="0"/>
        <w:spacing w:after="0" w:line="240" w:lineRule="auto"/>
        <w:rPr>
          <w:rFonts w:cs="StoneSerif-Semibold"/>
          <w:color w:val="004DA0"/>
          <w:sz w:val="24"/>
          <w:szCs w:val="24"/>
        </w:rPr>
      </w:pPr>
      <w:r w:rsidRPr="003732A8">
        <w:rPr>
          <w:rFonts w:cs="StoneSerif-Semibold"/>
          <w:color w:val="004DA0"/>
          <w:sz w:val="24"/>
          <w:szCs w:val="24"/>
        </w:rPr>
        <w:t>Carcinome des tubes collecteurs de Bellini</w:t>
      </w:r>
    </w:p>
    <w:p w:rsidR="007264A2" w:rsidRPr="0035185C" w:rsidRDefault="007264A2" w:rsidP="0035185C">
      <w:pPr>
        <w:pStyle w:val="Paragraphedeliste"/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</w:p>
    <w:p w:rsidR="00C0368A" w:rsidRPr="0035185C" w:rsidRDefault="00C0368A" w:rsidP="00C0368A">
      <w:pPr>
        <w:autoSpaceDE w:val="0"/>
        <w:autoSpaceDN w:val="0"/>
        <w:adjustRightInd w:val="0"/>
        <w:spacing w:after="0" w:line="240" w:lineRule="auto"/>
        <w:rPr>
          <w:rFonts w:cs="StoneSans-Semibold"/>
          <w:b/>
          <w:bCs/>
          <w:color w:val="004DA0"/>
          <w:sz w:val="24"/>
          <w:szCs w:val="24"/>
        </w:rPr>
      </w:pPr>
      <w:r w:rsidRPr="0035185C">
        <w:rPr>
          <w:rFonts w:cs="StoneSans-Semibold"/>
          <w:b/>
          <w:bCs/>
          <w:color w:val="004DA0"/>
          <w:sz w:val="24"/>
          <w:szCs w:val="24"/>
        </w:rPr>
        <w:t>Autres tumeurs primitives rénales fréquentes</w:t>
      </w:r>
    </w:p>
    <w:p w:rsidR="00C0368A" w:rsidRPr="003732A8" w:rsidRDefault="0035185C" w:rsidP="00C0368A">
      <w:pPr>
        <w:autoSpaceDE w:val="0"/>
        <w:autoSpaceDN w:val="0"/>
        <w:adjustRightInd w:val="0"/>
        <w:spacing w:after="0" w:line="240" w:lineRule="auto"/>
        <w:rPr>
          <w:rFonts w:cs="StoneSans-Bold"/>
          <w:b/>
          <w:bCs/>
          <w:color w:val="004DA0"/>
          <w:sz w:val="24"/>
          <w:szCs w:val="24"/>
        </w:rPr>
      </w:pPr>
      <w:r>
        <w:rPr>
          <w:rFonts w:cs="StoneSans-Bold"/>
          <w:b/>
          <w:bCs/>
          <w:color w:val="004DA0"/>
          <w:sz w:val="24"/>
          <w:szCs w:val="24"/>
        </w:rPr>
        <w:t xml:space="preserve">           </w:t>
      </w:r>
      <w:proofErr w:type="spellStart"/>
      <w:r w:rsidR="00C0368A" w:rsidRPr="003732A8">
        <w:rPr>
          <w:rFonts w:cs="StoneSans-Bold"/>
          <w:b/>
          <w:bCs/>
          <w:color w:val="004DA0"/>
          <w:sz w:val="24"/>
          <w:szCs w:val="24"/>
        </w:rPr>
        <w:t>Oncocytome</w:t>
      </w:r>
      <w:proofErr w:type="spellEnd"/>
    </w:p>
    <w:p w:rsidR="007D6715" w:rsidRPr="003732A8" w:rsidRDefault="0035185C" w:rsidP="007D6715">
      <w:pPr>
        <w:autoSpaceDE w:val="0"/>
        <w:autoSpaceDN w:val="0"/>
        <w:adjustRightInd w:val="0"/>
        <w:spacing w:after="0" w:line="240" w:lineRule="auto"/>
        <w:rPr>
          <w:rFonts w:cs="StoneSans-Bold"/>
          <w:b/>
          <w:bCs/>
          <w:color w:val="004DA0"/>
          <w:sz w:val="24"/>
          <w:szCs w:val="24"/>
        </w:rPr>
      </w:pPr>
      <w:r>
        <w:rPr>
          <w:rFonts w:cs="StoneSerif"/>
          <w:color w:val="1B1C20"/>
          <w:sz w:val="24"/>
          <w:szCs w:val="24"/>
        </w:rPr>
        <w:t xml:space="preserve">           </w:t>
      </w:r>
      <w:proofErr w:type="spellStart"/>
      <w:r w:rsidR="007D6715" w:rsidRPr="003732A8">
        <w:rPr>
          <w:rFonts w:cs="StoneSans-Bold"/>
          <w:b/>
          <w:bCs/>
          <w:color w:val="004DA0"/>
          <w:sz w:val="24"/>
          <w:szCs w:val="24"/>
        </w:rPr>
        <w:t>Angiomyolipome</w:t>
      </w:r>
      <w:proofErr w:type="spellEnd"/>
    </w:p>
    <w:p w:rsidR="00EF4D1F" w:rsidRPr="008A694C" w:rsidRDefault="00EF4D1F" w:rsidP="008A694C">
      <w:pPr>
        <w:autoSpaceDE w:val="0"/>
        <w:autoSpaceDN w:val="0"/>
        <w:adjustRightInd w:val="0"/>
        <w:spacing w:after="0" w:line="240" w:lineRule="auto"/>
        <w:rPr>
          <w:rFonts w:cs="StoneSans-Semibold"/>
          <w:color w:val="004DA0"/>
          <w:sz w:val="24"/>
          <w:szCs w:val="24"/>
        </w:rPr>
      </w:pPr>
      <w:r w:rsidRPr="008A694C">
        <w:rPr>
          <w:rFonts w:cs="StoneSerif"/>
          <w:color w:val="1B1C20"/>
          <w:sz w:val="24"/>
          <w:szCs w:val="24"/>
        </w:rPr>
        <w:lastRenderedPageBreak/>
        <w:t xml:space="preserve"> </w:t>
      </w:r>
    </w:p>
    <w:p w:rsidR="000E0CFE" w:rsidRPr="003732A8" w:rsidRDefault="000E0CFE" w:rsidP="000E0CFE">
      <w:pPr>
        <w:autoSpaceDE w:val="0"/>
        <w:autoSpaceDN w:val="0"/>
        <w:adjustRightInd w:val="0"/>
        <w:spacing w:after="0" w:line="240" w:lineRule="auto"/>
        <w:rPr>
          <w:rFonts w:eastAsia="ZapfDingbats" w:cs="StoneSans-Bold"/>
          <w:b/>
          <w:bCs/>
          <w:color w:val="004DA0"/>
          <w:sz w:val="24"/>
          <w:szCs w:val="24"/>
        </w:rPr>
      </w:pPr>
      <w:r w:rsidRPr="003732A8">
        <w:rPr>
          <w:rFonts w:eastAsia="ZapfDingbats" w:cs="StoneSans-Bold"/>
          <w:b/>
          <w:bCs/>
          <w:color w:val="004DA0"/>
          <w:sz w:val="24"/>
          <w:szCs w:val="24"/>
        </w:rPr>
        <w:t>Facteurs pronostiques du cancer du rein</w:t>
      </w:r>
    </w:p>
    <w:p w:rsidR="000E0CFE" w:rsidRPr="003732A8" w:rsidRDefault="000E0CFE" w:rsidP="000E0CFE">
      <w:pPr>
        <w:autoSpaceDE w:val="0"/>
        <w:autoSpaceDN w:val="0"/>
        <w:adjustRightInd w:val="0"/>
        <w:spacing w:after="0" w:line="240" w:lineRule="auto"/>
        <w:rPr>
          <w:rFonts w:eastAsia="ZapfDingbats" w:cs="StoneSans-Semibold"/>
          <w:color w:val="004DA0"/>
          <w:sz w:val="24"/>
          <w:szCs w:val="24"/>
        </w:rPr>
      </w:pPr>
      <w:r w:rsidRPr="003732A8">
        <w:rPr>
          <w:rFonts w:eastAsia="ZapfDingbats" w:cs="StoneSans-Semibold"/>
          <w:color w:val="004DA0"/>
          <w:sz w:val="24"/>
          <w:szCs w:val="24"/>
        </w:rPr>
        <w:t>Facteurs pronostiques cliniques</w:t>
      </w:r>
    </w:p>
    <w:p w:rsidR="000E0CFE" w:rsidRDefault="00B75F10" w:rsidP="00B75F10">
      <w:pPr>
        <w:autoSpaceDE w:val="0"/>
        <w:autoSpaceDN w:val="0"/>
        <w:adjustRightInd w:val="0"/>
        <w:spacing w:after="0" w:line="240" w:lineRule="auto"/>
        <w:rPr>
          <w:rFonts w:eastAsia="ZapfDingbats" w:cs="StoneSerif"/>
          <w:color w:val="1B1C20"/>
          <w:sz w:val="24"/>
          <w:szCs w:val="24"/>
        </w:rPr>
      </w:pPr>
      <w:r w:rsidRPr="003732A8">
        <w:rPr>
          <w:rFonts w:eastAsia="ZapfDingbats" w:cs="StoneSerif"/>
          <w:color w:val="1B1C20"/>
          <w:sz w:val="24"/>
          <w:szCs w:val="24"/>
        </w:rPr>
        <w:t xml:space="preserve"> </w:t>
      </w:r>
      <w:proofErr w:type="gramStart"/>
      <w:r w:rsidR="000E0CFE" w:rsidRPr="003732A8">
        <w:rPr>
          <w:rFonts w:eastAsia="ZapfDingbats" w:cs="StoneSerif"/>
          <w:color w:val="1B1C20"/>
          <w:sz w:val="24"/>
          <w:szCs w:val="24"/>
        </w:rPr>
        <w:t>la</w:t>
      </w:r>
      <w:proofErr w:type="gramEnd"/>
      <w:r w:rsidR="000E0CFE" w:rsidRPr="003732A8">
        <w:rPr>
          <w:rFonts w:eastAsia="ZapfDingbats" w:cs="StoneSerif"/>
          <w:color w:val="1B1C20"/>
          <w:sz w:val="24"/>
          <w:szCs w:val="24"/>
        </w:rPr>
        <w:t xml:space="preserve"> présence de symptômes locaux, d’une cachexie ou d’anémie sont des facteurs péjoratifs de survie</w:t>
      </w:r>
    </w:p>
    <w:p w:rsidR="008A694C" w:rsidRPr="003732A8" w:rsidRDefault="008A694C" w:rsidP="00B75F10">
      <w:pPr>
        <w:autoSpaceDE w:val="0"/>
        <w:autoSpaceDN w:val="0"/>
        <w:adjustRightInd w:val="0"/>
        <w:spacing w:after="0" w:line="240" w:lineRule="auto"/>
        <w:rPr>
          <w:rFonts w:cs="StoneSans"/>
          <w:color w:val="1B1C20"/>
          <w:sz w:val="24"/>
          <w:szCs w:val="24"/>
        </w:rPr>
      </w:pPr>
    </w:p>
    <w:p w:rsidR="000E0CFE" w:rsidRPr="003732A8" w:rsidRDefault="000E0CFE" w:rsidP="000E0CFE">
      <w:pPr>
        <w:autoSpaceDE w:val="0"/>
        <w:autoSpaceDN w:val="0"/>
        <w:adjustRightInd w:val="0"/>
        <w:spacing w:after="0" w:line="240" w:lineRule="auto"/>
        <w:rPr>
          <w:rFonts w:cs="StoneSans-Semibold"/>
          <w:color w:val="004DA0"/>
          <w:sz w:val="24"/>
          <w:szCs w:val="24"/>
        </w:rPr>
      </w:pPr>
      <w:r w:rsidRPr="003732A8">
        <w:rPr>
          <w:rFonts w:cs="StoneSans-Semibold"/>
          <w:color w:val="004DA0"/>
          <w:sz w:val="24"/>
          <w:szCs w:val="24"/>
        </w:rPr>
        <w:t xml:space="preserve">Facteurs pronostiques </w:t>
      </w:r>
      <w:proofErr w:type="spellStart"/>
      <w:r w:rsidRPr="003732A8">
        <w:rPr>
          <w:rFonts w:cs="StoneSans-Semibold"/>
          <w:color w:val="004DA0"/>
          <w:sz w:val="24"/>
          <w:szCs w:val="24"/>
        </w:rPr>
        <w:t>histopathologiques</w:t>
      </w:r>
      <w:proofErr w:type="spellEnd"/>
    </w:p>
    <w:p w:rsidR="000E0CFE" w:rsidRPr="007C4301" w:rsidRDefault="000E0CFE" w:rsidP="000E0CFE">
      <w:pPr>
        <w:autoSpaceDE w:val="0"/>
        <w:autoSpaceDN w:val="0"/>
        <w:adjustRightInd w:val="0"/>
        <w:spacing w:after="0" w:line="240" w:lineRule="auto"/>
        <w:rPr>
          <w:rFonts w:cs="StoneSans-Bold"/>
          <w:b/>
          <w:bCs/>
          <w:color w:val="004DA0"/>
          <w:sz w:val="36"/>
          <w:szCs w:val="36"/>
        </w:rPr>
      </w:pPr>
      <w:proofErr w:type="spellStart"/>
      <w:r w:rsidRPr="007C4301">
        <w:rPr>
          <w:rFonts w:cs="StoneSans-Bold"/>
          <w:b/>
          <w:bCs/>
          <w:color w:val="004DA0"/>
          <w:sz w:val="36"/>
          <w:szCs w:val="36"/>
        </w:rPr>
        <w:t>Stadification</w:t>
      </w:r>
      <w:proofErr w:type="spellEnd"/>
      <w:r w:rsidRPr="007C4301">
        <w:rPr>
          <w:rFonts w:cs="StoneSans-Bold"/>
          <w:b/>
          <w:bCs/>
          <w:color w:val="004DA0"/>
          <w:sz w:val="36"/>
          <w:szCs w:val="36"/>
        </w:rPr>
        <w:t xml:space="preserve"> </w:t>
      </w:r>
      <w:proofErr w:type="spellStart"/>
      <w:r w:rsidRPr="007C4301">
        <w:rPr>
          <w:rFonts w:cs="StoneSans-Bold"/>
          <w:b/>
          <w:bCs/>
          <w:color w:val="004DA0"/>
          <w:sz w:val="36"/>
          <w:szCs w:val="36"/>
        </w:rPr>
        <w:t>pTNM</w:t>
      </w:r>
      <w:proofErr w:type="spellEnd"/>
      <w:r w:rsidR="00551996" w:rsidRPr="007C4301">
        <w:rPr>
          <w:rFonts w:cs="StoneSans-Bold"/>
          <w:b/>
          <w:bCs/>
          <w:color w:val="004DA0"/>
          <w:sz w:val="36"/>
          <w:szCs w:val="36"/>
        </w:rPr>
        <w:t xml:space="preserve"> 2009</w:t>
      </w:r>
    </w:p>
    <w:p w:rsidR="00551996" w:rsidRPr="003732A8" w:rsidRDefault="00551996" w:rsidP="00551996">
      <w:pPr>
        <w:autoSpaceDE w:val="0"/>
        <w:autoSpaceDN w:val="0"/>
        <w:adjustRightInd w:val="0"/>
        <w:spacing w:after="0" w:line="240" w:lineRule="auto"/>
        <w:rPr>
          <w:rFonts w:cs="TT2E59o00"/>
          <w:color w:val="8E96C6"/>
          <w:sz w:val="24"/>
          <w:szCs w:val="24"/>
        </w:rPr>
      </w:pPr>
      <w:r w:rsidRPr="003732A8">
        <w:rPr>
          <w:rFonts w:cs="TT2E59o00"/>
          <w:color w:val="8E96C6"/>
          <w:sz w:val="24"/>
          <w:szCs w:val="24"/>
        </w:rPr>
        <w:t>Tumeur primitive</w:t>
      </w:r>
    </w:p>
    <w:p w:rsidR="00551996" w:rsidRPr="003732A8" w:rsidRDefault="00551996" w:rsidP="00551996">
      <w:pPr>
        <w:autoSpaceDE w:val="0"/>
        <w:autoSpaceDN w:val="0"/>
        <w:adjustRightInd w:val="0"/>
        <w:spacing w:after="0" w:line="240" w:lineRule="auto"/>
        <w:rPr>
          <w:rFonts w:cs="TT2E63o00"/>
          <w:color w:val="000000"/>
          <w:sz w:val="24"/>
          <w:szCs w:val="24"/>
        </w:rPr>
      </w:pPr>
      <w:r w:rsidRPr="003732A8">
        <w:rPr>
          <w:rFonts w:cs="TT2E63o00"/>
          <w:color w:val="000000"/>
          <w:sz w:val="24"/>
          <w:szCs w:val="24"/>
        </w:rPr>
        <w:t>TX La tumeur primitive ne peut être évaluée</w:t>
      </w:r>
    </w:p>
    <w:p w:rsidR="00551996" w:rsidRPr="003732A8" w:rsidRDefault="00551996" w:rsidP="00551996">
      <w:pPr>
        <w:autoSpaceDE w:val="0"/>
        <w:autoSpaceDN w:val="0"/>
        <w:adjustRightInd w:val="0"/>
        <w:spacing w:after="0" w:line="240" w:lineRule="auto"/>
        <w:rPr>
          <w:rFonts w:cs="TT2E63o00"/>
          <w:color w:val="000000"/>
          <w:sz w:val="24"/>
          <w:szCs w:val="24"/>
        </w:rPr>
      </w:pPr>
      <w:r w:rsidRPr="003732A8">
        <w:rPr>
          <w:rFonts w:cs="TT2E63o00"/>
          <w:color w:val="000000"/>
          <w:sz w:val="24"/>
          <w:szCs w:val="24"/>
        </w:rPr>
        <w:t>T0 Aucune preuve de tumeur primitive</w:t>
      </w:r>
    </w:p>
    <w:p w:rsidR="00551996" w:rsidRPr="003732A8" w:rsidRDefault="00551996" w:rsidP="00551996">
      <w:pPr>
        <w:autoSpaceDE w:val="0"/>
        <w:autoSpaceDN w:val="0"/>
        <w:adjustRightInd w:val="0"/>
        <w:spacing w:after="0" w:line="240" w:lineRule="auto"/>
        <w:rPr>
          <w:rFonts w:cs="TT2E63o00"/>
          <w:color w:val="000000"/>
          <w:sz w:val="24"/>
          <w:szCs w:val="24"/>
        </w:rPr>
      </w:pPr>
      <w:r w:rsidRPr="003732A8">
        <w:rPr>
          <w:rFonts w:cs="TT2E63o00"/>
          <w:color w:val="000000"/>
          <w:sz w:val="24"/>
          <w:szCs w:val="24"/>
        </w:rPr>
        <w:t xml:space="preserve">T1 Tumeur limitée au rein </w:t>
      </w:r>
      <w:r w:rsidRPr="003732A8">
        <w:rPr>
          <w:rFonts w:eastAsia="TT2E64o00" w:cs="TT2E64o00"/>
          <w:color w:val="000000"/>
          <w:sz w:val="24"/>
          <w:szCs w:val="24"/>
        </w:rPr>
        <w:t xml:space="preserve">≤ </w:t>
      </w:r>
      <w:r w:rsidRPr="003732A8">
        <w:rPr>
          <w:rFonts w:cs="TT2E63o00"/>
          <w:color w:val="000000"/>
          <w:sz w:val="24"/>
          <w:szCs w:val="24"/>
        </w:rPr>
        <w:t>7 cm de grand axe</w:t>
      </w:r>
    </w:p>
    <w:p w:rsidR="00551996" w:rsidRPr="003732A8" w:rsidRDefault="00551996" w:rsidP="00900872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TT2E63o00"/>
          <w:color w:val="000000"/>
          <w:sz w:val="24"/>
          <w:szCs w:val="24"/>
        </w:rPr>
      </w:pPr>
      <w:r w:rsidRPr="003732A8">
        <w:rPr>
          <w:rFonts w:cs="TT2E63o00"/>
          <w:color w:val="000000"/>
          <w:sz w:val="24"/>
          <w:szCs w:val="24"/>
        </w:rPr>
        <w:t xml:space="preserve">T1a Tumeur limitée au rein </w:t>
      </w:r>
      <w:r w:rsidRPr="003732A8">
        <w:rPr>
          <w:rFonts w:eastAsia="TT2E64o00" w:cs="TT2E64o00"/>
          <w:color w:val="000000"/>
          <w:sz w:val="24"/>
          <w:szCs w:val="24"/>
        </w:rPr>
        <w:t xml:space="preserve">≤ </w:t>
      </w:r>
      <w:r w:rsidRPr="003732A8">
        <w:rPr>
          <w:rFonts w:cs="TT2E63o00"/>
          <w:color w:val="000000"/>
          <w:sz w:val="24"/>
          <w:szCs w:val="24"/>
        </w:rPr>
        <w:t>4 cm de grand axe</w:t>
      </w:r>
    </w:p>
    <w:p w:rsidR="00551996" w:rsidRPr="003732A8" w:rsidRDefault="00551996" w:rsidP="00900872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TT2E63o00"/>
          <w:color w:val="000000"/>
          <w:sz w:val="24"/>
          <w:szCs w:val="24"/>
        </w:rPr>
      </w:pPr>
      <w:r w:rsidRPr="003732A8">
        <w:rPr>
          <w:rFonts w:cs="TT2E63o00"/>
          <w:color w:val="000000"/>
          <w:sz w:val="24"/>
          <w:szCs w:val="24"/>
        </w:rPr>
        <w:t xml:space="preserve">T1b Tumeur limitée au rein &gt; 4 cm mais </w:t>
      </w:r>
      <w:r w:rsidRPr="003732A8">
        <w:rPr>
          <w:rFonts w:eastAsia="TT2E64o00" w:cs="TT2E64o00"/>
          <w:color w:val="000000"/>
          <w:sz w:val="24"/>
          <w:szCs w:val="24"/>
        </w:rPr>
        <w:t xml:space="preserve">≤ </w:t>
      </w:r>
      <w:r w:rsidRPr="003732A8">
        <w:rPr>
          <w:rFonts w:cs="TT2E63o00"/>
          <w:color w:val="000000"/>
          <w:sz w:val="24"/>
          <w:szCs w:val="24"/>
        </w:rPr>
        <w:t>7 cm de grand axe</w:t>
      </w:r>
    </w:p>
    <w:p w:rsidR="00652A74" w:rsidRPr="003732A8" w:rsidRDefault="00551996" w:rsidP="00652A74">
      <w:pPr>
        <w:autoSpaceDE w:val="0"/>
        <w:autoSpaceDN w:val="0"/>
        <w:adjustRightInd w:val="0"/>
        <w:spacing w:after="0" w:line="240" w:lineRule="auto"/>
        <w:rPr>
          <w:rFonts w:cs="TT2E63o00"/>
          <w:color w:val="000000"/>
          <w:sz w:val="24"/>
          <w:szCs w:val="24"/>
        </w:rPr>
      </w:pPr>
      <w:r w:rsidRPr="003732A8">
        <w:rPr>
          <w:rFonts w:cs="TT2E63o00"/>
          <w:color w:val="000000"/>
          <w:sz w:val="24"/>
          <w:szCs w:val="24"/>
        </w:rPr>
        <w:t>T2 Tumeur limitée au rein &gt; 7 cm de grand axe</w:t>
      </w:r>
    </w:p>
    <w:p w:rsidR="00652A74" w:rsidRPr="003732A8" w:rsidRDefault="00551996" w:rsidP="00900872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TT2E63o00"/>
          <w:color w:val="000000"/>
          <w:sz w:val="24"/>
          <w:szCs w:val="24"/>
        </w:rPr>
      </w:pPr>
      <w:r w:rsidRPr="003732A8">
        <w:rPr>
          <w:rFonts w:cs="TT2E63o00"/>
          <w:color w:val="000000"/>
          <w:sz w:val="24"/>
          <w:szCs w:val="24"/>
        </w:rPr>
        <w:t xml:space="preserve">T2a Tumeur limitée au rein &gt; 7 cm mais </w:t>
      </w:r>
      <w:r w:rsidRPr="003732A8">
        <w:rPr>
          <w:rFonts w:eastAsia="TT2E64o00" w:cs="TT2E64o00"/>
          <w:color w:val="000000"/>
          <w:sz w:val="24"/>
          <w:szCs w:val="24"/>
        </w:rPr>
        <w:t xml:space="preserve">≤ </w:t>
      </w:r>
      <w:r w:rsidRPr="003732A8">
        <w:rPr>
          <w:rFonts w:cs="TT2E63o00"/>
          <w:color w:val="000000"/>
          <w:sz w:val="24"/>
          <w:szCs w:val="24"/>
        </w:rPr>
        <w:t>10 cm de</w:t>
      </w:r>
      <w:r w:rsidR="00652A74" w:rsidRPr="003732A8">
        <w:rPr>
          <w:rFonts w:cs="TT2E63o00"/>
          <w:color w:val="000000"/>
          <w:sz w:val="24"/>
          <w:szCs w:val="24"/>
        </w:rPr>
        <w:t xml:space="preserve"> </w:t>
      </w:r>
      <w:r w:rsidRPr="003732A8">
        <w:rPr>
          <w:rFonts w:cs="TT2E63o00"/>
          <w:color w:val="000000"/>
          <w:sz w:val="24"/>
          <w:szCs w:val="24"/>
        </w:rPr>
        <w:t>grand axe</w:t>
      </w:r>
    </w:p>
    <w:p w:rsidR="00551996" w:rsidRPr="003732A8" w:rsidRDefault="00551996" w:rsidP="00900872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TT2E63o00"/>
          <w:color w:val="000000"/>
          <w:sz w:val="24"/>
          <w:szCs w:val="24"/>
        </w:rPr>
      </w:pPr>
      <w:r w:rsidRPr="003732A8">
        <w:rPr>
          <w:rFonts w:cs="TT2E63o00"/>
          <w:color w:val="000000"/>
          <w:sz w:val="24"/>
          <w:szCs w:val="24"/>
        </w:rPr>
        <w:t>T2b Tumeur limitée au rein &gt; 10 cm</w:t>
      </w:r>
    </w:p>
    <w:p w:rsidR="00551996" w:rsidRPr="003732A8" w:rsidRDefault="00551996" w:rsidP="00652A74">
      <w:pPr>
        <w:autoSpaceDE w:val="0"/>
        <w:autoSpaceDN w:val="0"/>
        <w:adjustRightInd w:val="0"/>
        <w:spacing w:after="0" w:line="240" w:lineRule="auto"/>
        <w:rPr>
          <w:rFonts w:cs="TT2E63o00"/>
          <w:color w:val="000000"/>
          <w:sz w:val="24"/>
          <w:szCs w:val="24"/>
        </w:rPr>
      </w:pPr>
      <w:r w:rsidRPr="003732A8">
        <w:rPr>
          <w:rFonts w:cs="TT2E63o00"/>
          <w:color w:val="000000"/>
          <w:sz w:val="24"/>
          <w:szCs w:val="24"/>
        </w:rPr>
        <w:t>T3 Tumeur intéressant les veines principales ou envahissant</w:t>
      </w:r>
      <w:r w:rsidR="00652A74" w:rsidRPr="003732A8">
        <w:rPr>
          <w:rFonts w:cs="TT2E63o00"/>
          <w:color w:val="000000"/>
          <w:sz w:val="24"/>
          <w:szCs w:val="24"/>
        </w:rPr>
        <w:t xml:space="preserve"> </w:t>
      </w:r>
      <w:r w:rsidRPr="003732A8">
        <w:rPr>
          <w:rFonts w:cs="TT2E63o00"/>
          <w:color w:val="000000"/>
          <w:sz w:val="24"/>
          <w:szCs w:val="24"/>
        </w:rPr>
        <w:t xml:space="preserve">la graisse </w:t>
      </w:r>
      <w:proofErr w:type="spellStart"/>
      <w:r w:rsidRPr="003732A8">
        <w:rPr>
          <w:rFonts w:cs="TT2E63o00"/>
          <w:color w:val="000000"/>
          <w:sz w:val="24"/>
          <w:szCs w:val="24"/>
        </w:rPr>
        <w:t>périrénale</w:t>
      </w:r>
      <w:proofErr w:type="spellEnd"/>
      <w:r w:rsidRPr="003732A8">
        <w:rPr>
          <w:rFonts w:cs="TT2E63o00"/>
          <w:color w:val="000000"/>
          <w:sz w:val="24"/>
          <w:szCs w:val="24"/>
        </w:rPr>
        <w:t xml:space="preserve"> ou du sinus rénal mais sans</w:t>
      </w:r>
      <w:r w:rsidR="00652A74" w:rsidRPr="003732A8">
        <w:rPr>
          <w:rFonts w:cs="TT2E63o00"/>
          <w:color w:val="000000"/>
          <w:sz w:val="24"/>
          <w:szCs w:val="24"/>
        </w:rPr>
        <w:t xml:space="preserve"> </w:t>
      </w:r>
      <w:r w:rsidRPr="003732A8">
        <w:rPr>
          <w:rFonts w:cs="TT2E63o00"/>
          <w:color w:val="000000"/>
          <w:sz w:val="24"/>
          <w:szCs w:val="24"/>
        </w:rPr>
        <w:t xml:space="preserve">atteindre le fascia de </w:t>
      </w:r>
      <w:proofErr w:type="spellStart"/>
      <w:r w:rsidRPr="003732A8">
        <w:rPr>
          <w:rFonts w:cs="TT2E63o00"/>
          <w:color w:val="000000"/>
          <w:sz w:val="24"/>
          <w:szCs w:val="24"/>
        </w:rPr>
        <w:t>Gerota</w:t>
      </w:r>
      <w:proofErr w:type="spellEnd"/>
    </w:p>
    <w:p w:rsidR="007D6715" w:rsidRPr="007C4301" w:rsidRDefault="007D6715" w:rsidP="007C4301">
      <w:pPr>
        <w:pStyle w:val="Paragraphedeliste"/>
        <w:autoSpaceDE w:val="0"/>
        <w:autoSpaceDN w:val="0"/>
        <w:adjustRightInd w:val="0"/>
        <w:spacing w:after="0" w:line="240" w:lineRule="auto"/>
        <w:rPr>
          <w:rFonts w:cs="TT2E63o00"/>
          <w:color w:val="000000"/>
          <w:sz w:val="24"/>
          <w:szCs w:val="24"/>
        </w:rPr>
      </w:pPr>
    </w:p>
    <w:p w:rsidR="00551996" w:rsidRPr="003732A8" w:rsidRDefault="00551996" w:rsidP="00652A74">
      <w:pPr>
        <w:autoSpaceDE w:val="0"/>
        <w:autoSpaceDN w:val="0"/>
        <w:adjustRightInd w:val="0"/>
        <w:spacing w:after="0" w:line="240" w:lineRule="auto"/>
        <w:rPr>
          <w:rFonts w:cs="TT2E63o00"/>
          <w:color w:val="000000"/>
          <w:sz w:val="24"/>
          <w:szCs w:val="24"/>
        </w:rPr>
      </w:pPr>
      <w:r w:rsidRPr="003732A8">
        <w:rPr>
          <w:rFonts w:cs="TT2E63o00"/>
          <w:color w:val="000000"/>
          <w:sz w:val="24"/>
          <w:szCs w:val="24"/>
        </w:rPr>
        <w:t xml:space="preserve">T4 Tumeur s’étendant au delà du fascia de </w:t>
      </w:r>
      <w:proofErr w:type="spellStart"/>
      <w:r w:rsidRPr="003732A8">
        <w:rPr>
          <w:rFonts w:cs="TT2E63o00"/>
          <w:color w:val="000000"/>
          <w:sz w:val="24"/>
          <w:szCs w:val="24"/>
        </w:rPr>
        <w:t>Gerota</w:t>
      </w:r>
      <w:proofErr w:type="spellEnd"/>
      <w:r w:rsidRPr="003732A8">
        <w:rPr>
          <w:rFonts w:cs="TT2E63o00"/>
          <w:color w:val="000000"/>
          <w:sz w:val="24"/>
          <w:szCs w:val="24"/>
        </w:rPr>
        <w:t>,</w:t>
      </w:r>
      <w:r w:rsidR="00652A74" w:rsidRPr="003732A8">
        <w:rPr>
          <w:rFonts w:cs="TT2E63o00"/>
          <w:color w:val="000000"/>
          <w:sz w:val="24"/>
          <w:szCs w:val="24"/>
        </w:rPr>
        <w:t xml:space="preserve"> </w:t>
      </w:r>
      <w:r w:rsidRPr="003732A8">
        <w:rPr>
          <w:rFonts w:cs="TT2E63o00"/>
          <w:color w:val="000000"/>
          <w:sz w:val="24"/>
          <w:szCs w:val="24"/>
        </w:rPr>
        <w:t>incluant l’</w:t>
      </w:r>
      <w:r w:rsidR="00652A74" w:rsidRPr="003732A8">
        <w:rPr>
          <w:rFonts w:cs="TT2E63o00"/>
          <w:color w:val="000000"/>
          <w:sz w:val="24"/>
          <w:szCs w:val="24"/>
        </w:rPr>
        <w:t xml:space="preserve">envahissement de contiguïté de </w:t>
      </w:r>
      <w:r w:rsidRPr="003732A8">
        <w:rPr>
          <w:rFonts w:cs="TT2E63o00"/>
          <w:color w:val="000000"/>
          <w:sz w:val="24"/>
          <w:szCs w:val="24"/>
        </w:rPr>
        <w:t>la surrénale</w:t>
      </w:r>
      <w:r w:rsidR="00652A74" w:rsidRPr="003732A8">
        <w:rPr>
          <w:rFonts w:cs="TT2E63o00"/>
          <w:color w:val="000000"/>
          <w:sz w:val="24"/>
          <w:szCs w:val="24"/>
        </w:rPr>
        <w:t xml:space="preserve"> </w:t>
      </w:r>
      <w:r w:rsidRPr="003732A8">
        <w:rPr>
          <w:rFonts w:cs="TT2E63o00"/>
          <w:color w:val="000000"/>
          <w:sz w:val="24"/>
          <w:szCs w:val="24"/>
        </w:rPr>
        <w:t>homolatérale.</w:t>
      </w:r>
    </w:p>
    <w:p w:rsidR="00652A74" w:rsidRPr="003732A8" w:rsidRDefault="00551996" w:rsidP="00652A74">
      <w:pPr>
        <w:autoSpaceDE w:val="0"/>
        <w:autoSpaceDN w:val="0"/>
        <w:adjustRightInd w:val="0"/>
        <w:spacing w:after="0" w:line="240" w:lineRule="auto"/>
        <w:rPr>
          <w:rFonts w:cs="TT2E59o00"/>
          <w:color w:val="8E96C6"/>
          <w:sz w:val="24"/>
          <w:szCs w:val="24"/>
        </w:rPr>
      </w:pPr>
      <w:r w:rsidRPr="003732A8">
        <w:rPr>
          <w:rFonts w:cs="TT2E59o00"/>
          <w:color w:val="8E96C6"/>
          <w:sz w:val="24"/>
          <w:szCs w:val="24"/>
        </w:rPr>
        <w:t>N – Envahissement des ganglions régionaux</w:t>
      </w:r>
    </w:p>
    <w:p w:rsidR="00652A74" w:rsidRPr="003732A8" w:rsidRDefault="00551996" w:rsidP="00652A74">
      <w:pPr>
        <w:autoSpaceDE w:val="0"/>
        <w:autoSpaceDN w:val="0"/>
        <w:adjustRightInd w:val="0"/>
        <w:spacing w:after="0" w:line="240" w:lineRule="auto"/>
        <w:rPr>
          <w:rFonts w:cs="TT2E59o00"/>
          <w:color w:val="8E96C6"/>
          <w:sz w:val="24"/>
          <w:szCs w:val="24"/>
        </w:rPr>
      </w:pPr>
      <w:r w:rsidRPr="003732A8">
        <w:rPr>
          <w:rFonts w:cs="TT2E8Eo00"/>
          <w:color w:val="37549D"/>
          <w:sz w:val="24"/>
          <w:szCs w:val="24"/>
        </w:rPr>
        <w:t>.</w:t>
      </w:r>
      <w:r w:rsidRPr="003732A8">
        <w:rPr>
          <w:rFonts w:cs="TT2E63o00"/>
          <w:color w:val="000000"/>
          <w:sz w:val="24"/>
          <w:szCs w:val="24"/>
        </w:rPr>
        <w:t xml:space="preserve">NX les </w:t>
      </w:r>
      <w:proofErr w:type="spellStart"/>
      <w:r w:rsidRPr="003732A8">
        <w:rPr>
          <w:rFonts w:cs="TT2E63o00"/>
          <w:color w:val="000000"/>
          <w:sz w:val="24"/>
          <w:szCs w:val="24"/>
        </w:rPr>
        <w:t>adénomégalies</w:t>
      </w:r>
      <w:proofErr w:type="spellEnd"/>
      <w:r w:rsidRPr="003732A8">
        <w:rPr>
          <w:rFonts w:cs="TT2E63o00"/>
          <w:color w:val="000000"/>
          <w:sz w:val="24"/>
          <w:szCs w:val="24"/>
        </w:rPr>
        <w:t xml:space="preserve"> ne peuvent être évaluées</w:t>
      </w:r>
    </w:p>
    <w:p w:rsidR="00551996" w:rsidRPr="003732A8" w:rsidRDefault="00551996" w:rsidP="00652A74">
      <w:pPr>
        <w:autoSpaceDE w:val="0"/>
        <w:autoSpaceDN w:val="0"/>
        <w:adjustRightInd w:val="0"/>
        <w:spacing w:after="0" w:line="240" w:lineRule="auto"/>
        <w:rPr>
          <w:rFonts w:cs="TT2E59o00"/>
          <w:color w:val="8E96C6"/>
          <w:sz w:val="24"/>
          <w:szCs w:val="24"/>
        </w:rPr>
      </w:pPr>
      <w:r w:rsidRPr="003732A8">
        <w:rPr>
          <w:rFonts w:cs="TT2E8Eo00"/>
          <w:color w:val="37549D"/>
          <w:sz w:val="24"/>
          <w:szCs w:val="24"/>
        </w:rPr>
        <w:t>.</w:t>
      </w:r>
      <w:r w:rsidRPr="003732A8">
        <w:rPr>
          <w:rFonts w:cs="TT2E63o00"/>
          <w:color w:val="000000"/>
          <w:sz w:val="24"/>
          <w:szCs w:val="24"/>
        </w:rPr>
        <w:t>N0 Pas de métastase ganglionnaire</w:t>
      </w:r>
    </w:p>
    <w:p w:rsidR="00551996" w:rsidRPr="003732A8" w:rsidRDefault="00551996" w:rsidP="00551996">
      <w:pPr>
        <w:autoSpaceDE w:val="0"/>
        <w:autoSpaceDN w:val="0"/>
        <w:adjustRightInd w:val="0"/>
        <w:spacing w:after="0" w:line="240" w:lineRule="auto"/>
        <w:rPr>
          <w:rFonts w:cs="TT2E63o00"/>
          <w:color w:val="000000"/>
          <w:sz w:val="24"/>
          <w:szCs w:val="24"/>
        </w:rPr>
      </w:pPr>
      <w:r w:rsidRPr="003732A8">
        <w:rPr>
          <w:rFonts w:cs="TT2E8Eo00"/>
          <w:color w:val="37549D"/>
          <w:sz w:val="24"/>
          <w:szCs w:val="24"/>
        </w:rPr>
        <w:t>.</w:t>
      </w:r>
      <w:r w:rsidRPr="003732A8">
        <w:rPr>
          <w:rFonts w:cs="TT2E63o00"/>
          <w:color w:val="000000"/>
          <w:sz w:val="24"/>
          <w:szCs w:val="24"/>
        </w:rPr>
        <w:t>N1 Métastase ganglionnaire unique</w:t>
      </w:r>
    </w:p>
    <w:p w:rsidR="00551996" w:rsidRPr="003732A8" w:rsidRDefault="00551996" w:rsidP="00551996">
      <w:pPr>
        <w:autoSpaceDE w:val="0"/>
        <w:autoSpaceDN w:val="0"/>
        <w:adjustRightInd w:val="0"/>
        <w:spacing w:after="0" w:line="240" w:lineRule="auto"/>
        <w:rPr>
          <w:rFonts w:cs="TT2E63o00"/>
          <w:color w:val="000000"/>
          <w:sz w:val="24"/>
          <w:szCs w:val="24"/>
        </w:rPr>
      </w:pPr>
      <w:r w:rsidRPr="003732A8">
        <w:rPr>
          <w:rFonts w:cs="TT2E8Eo00"/>
          <w:color w:val="37549D"/>
          <w:sz w:val="24"/>
          <w:szCs w:val="24"/>
        </w:rPr>
        <w:t>.</w:t>
      </w:r>
      <w:r w:rsidRPr="003732A8">
        <w:rPr>
          <w:rFonts w:cs="TT2E63o00"/>
          <w:color w:val="000000"/>
          <w:sz w:val="24"/>
          <w:szCs w:val="24"/>
        </w:rPr>
        <w:t>N2 Plus de 1 métastase ganglionnaire</w:t>
      </w:r>
    </w:p>
    <w:p w:rsidR="00551996" w:rsidRPr="003732A8" w:rsidRDefault="00551996" w:rsidP="00551996">
      <w:pPr>
        <w:autoSpaceDE w:val="0"/>
        <w:autoSpaceDN w:val="0"/>
        <w:adjustRightInd w:val="0"/>
        <w:spacing w:after="0" w:line="240" w:lineRule="auto"/>
        <w:rPr>
          <w:rFonts w:cs="TT2E59o00"/>
          <w:color w:val="8E96C6"/>
          <w:sz w:val="24"/>
          <w:szCs w:val="24"/>
        </w:rPr>
      </w:pPr>
      <w:r w:rsidRPr="003732A8">
        <w:rPr>
          <w:rFonts w:cs="TT2E59o00"/>
          <w:color w:val="8E96C6"/>
          <w:sz w:val="24"/>
          <w:szCs w:val="24"/>
        </w:rPr>
        <w:t>M – Métastase à distance</w:t>
      </w:r>
    </w:p>
    <w:p w:rsidR="00551996" w:rsidRPr="003732A8" w:rsidRDefault="00551996" w:rsidP="00551996">
      <w:pPr>
        <w:autoSpaceDE w:val="0"/>
        <w:autoSpaceDN w:val="0"/>
        <w:adjustRightInd w:val="0"/>
        <w:spacing w:after="0" w:line="240" w:lineRule="auto"/>
        <w:rPr>
          <w:rFonts w:cs="TT2E63o00"/>
          <w:color w:val="000000"/>
          <w:sz w:val="24"/>
          <w:szCs w:val="24"/>
        </w:rPr>
      </w:pPr>
      <w:r w:rsidRPr="003732A8">
        <w:rPr>
          <w:rFonts w:cs="TT2E8Eo00"/>
          <w:color w:val="37549D"/>
          <w:sz w:val="24"/>
          <w:szCs w:val="24"/>
        </w:rPr>
        <w:t>.</w:t>
      </w:r>
      <w:r w:rsidRPr="003732A8">
        <w:rPr>
          <w:rFonts w:cs="TT2E63o00"/>
          <w:color w:val="000000"/>
          <w:sz w:val="24"/>
          <w:szCs w:val="24"/>
        </w:rPr>
        <w:t>MX Les métastases à distance ne peuvent pas être évaluées</w:t>
      </w:r>
    </w:p>
    <w:p w:rsidR="00551996" w:rsidRPr="003732A8" w:rsidRDefault="00551996" w:rsidP="00551996">
      <w:pPr>
        <w:autoSpaceDE w:val="0"/>
        <w:autoSpaceDN w:val="0"/>
        <w:adjustRightInd w:val="0"/>
        <w:spacing w:after="0" w:line="240" w:lineRule="auto"/>
        <w:rPr>
          <w:rFonts w:cs="TT2E63o00"/>
          <w:color w:val="000000"/>
          <w:sz w:val="24"/>
          <w:szCs w:val="24"/>
        </w:rPr>
      </w:pPr>
      <w:r w:rsidRPr="003732A8">
        <w:rPr>
          <w:rFonts w:cs="TT2E8Eo00"/>
          <w:color w:val="37549D"/>
          <w:sz w:val="24"/>
          <w:szCs w:val="24"/>
        </w:rPr>
        <w:t>.</w:t>
      </w:r>
      <w:r w:rsidRPr="003732A8">
        <w:rPr>
          <w:rFonts w:cs="TT2E63o00"/>
          <w:color w:val="000000"/>
          <w:sz w:val="24"/>
          <w:szCs w:val="24"/>
        </w:rPr>
        <w:t>M0 Pas de métastase à distance</w:t>
      </w:r>
    </w:p>
    <w:p w:rsidR="00551996" w:rsidRPr="003732A8" w:rsidRDefault="00551996" w:rsidP="00551996">
      <w:pPr>
        <w:autoSpaceDE w:val="0"/>
        <w:autoSpaceDN w:val="0"/>
        <w:adjustRightInd w:val="0"/>
        <w:spacing w:after="0" w:line="240" w:lineRule="auto"/>
        <w:rPr>
          <w:rFonts w:cs="TT2E63o00"/>
          <w:color w:val="000000"/>
          <w:sz w:val="24"/>
          <w:szCs w:val="24"/>
        </w:rPr>
      </w:pPr>
      <w:r w:rsidRPr="003732A8">
        <w:rPr>
          <w:rFonts w:cs="TT2E8Eo00"/>
          <w:color w:val="37549D"/>
          <w:sz w:val="24"/>
          <w:szCs w:val="24"/>
        </w:rPr>
        <w:t>.</w:t>
      </w:r>
      <w:r w:rsidRPr="003732A8">
        <w:rPr>
          <w:rFonts w:cs="TT2E63o00"/>
          <w:color w:val="000000"/>
          <w:sz w:val="24"/>
          <w:szCs w:val="24"/>
        </w:rPr>
        <w:t>M1 Métastase à distance</w:t>
      </w:r>
    </w:p>
    <w:p w:rsidR="00551996" w:rsidRPr="007C4301" w:rsidRDefault="00551996" w:rsidP="007C4301">
      <w:pPr>
        <w:autoSpaceDE w:val="0"/>
        <w:autoSpaceDN w:val="0"/>
        <w:adjustRightInd w:val="0"/>
        <w:spacing w:after="0" w:line="240" w:lineRule="auto"/>
        <w:rPr>
          <w:rFonts w:cs="TT2E59o00"/>
          <w:color w:val="8E96C6"/>
          <w:sz w:val="24"/>
          <w:szCs w:val="24"/>
        </w:rPr>
      </w:pPr>
    </w:p>
    <w:p w:rsidR="005424A0" w:rsidRPr="003732A8" w:rsidRDefault="005424A0" w:rsidP="005424A0">
      <w:pPr>
        <w:autoSpaceDE w:val="0"/>
        <w:autoSpaceDN w:val="0"/>
        <w:adjustRightInd w:val="0"/>
        <w:spacing w:after="0" w:line="240" w:lineRule="auto"/>
        <w:rPr>
          <w:rFonts w:cs="StoneSans-Bold"/>
          <w:color w:val="004DA0"/>
          <w:sz w:val="24"/>
          <w:szCs w:val="24"/>
        </w:rPr>
      </w:pPr>
      <w:r w:rsidRPr="003732A8">
        <w:rPr>
          <w:rFonts w:cs="StoneSans-Bold"/>
          <w:color w:val="004DA0"/>
          <w:sz w:val="24"/>
          <w:szCs w:val="24"/>
        </w:rPr>
        <w:t xml:space="preserve">Grade </w:t>
      </w:r>
    </w:p>
    <w:p w:rsidR="005424A0" w:rsidRPr="003732A8" w:rsidRDefault="005424A0" w:rsidP="005424A0">
      <w:pPr>
        <w:autoSpaceDE w:val="0"/>
        <w:autoSpaceDN w:val="0"/>
        <w:adjustRightInd w:val="0"/>
        <w:spacing w:after="0" w:line="240" w:lineRule="auto"/>
        <w:rPr>
          <w:rFonts w:cs="StoneSans-Bold"/>
          <w:b/>
          <w:bCs/>
          <w:color w:val="004DA0"/>
          <w:sz w:val="24"/>
          <w:szCs w:val="24"/>
        </w:rPr>
      </w:pPr>
      <w:r w:rsidRPr="003732A8">
        <w:rPr>
          <w:rFonts w:cs="StoneSerif"/>
          <w:color w:val="1B1C20"/>
          <w:sz w:val="24"/>
          <w:szCs w:val="24"/>
        </w:rPr>
        <w:t xml:space="preserve">C’est le grade nucléaire de </w:t>
      </w:r>
      <w:proofErr w:type="spellStart"/>
      <w:r w:rsidRPr="003732A8">
        <w:rPr>
          <w:rFonts w:cs="StoneSerif"/>
          <w:color w:val="1B1C20"/>
          <w:sz w:val="24"/>
          <w:szCs w:val="24"/>
        </w:rPr>
        <w:t>Fuhrman</w:t>
      </w:r>
      <w:proofErr w:type="spellEnd"/>
      <w:r w:rsidRPr="003732A8">
        <w:rPr>
          <w:rFonts w:cs="StoneSerif"/>
          <w:color w:val="1B1C20"/>
          <w:sz w:val="24"/>
          <w:szCs w:val="24"/>
        </w:rPr>
        <w:t xml:space="preserve"> (grade 1 à 4) qui est le plus communément utilisé.</w:t>
      </w:r>
    </w:p>
    <w:p w:rsidR="005424A0" w:rsidRPr="003732A8" w:rsidRDefault="005424A0" w:rsidP="005424A0">
      <w:pPr>
        <w:autoSpaceDE w:val="0"/>
        <w:autoSpaceDN w:val="0"/>
        <w:adjustRightInd w:val="0"/>
        <w:spacing w:after="0" w:line="240" w:lineRule="auto"/>
        <w:rPr>
          <w:rFonts w:cs="StoneSans-Bold"/>
          <w:color w:val="004DA0"/>
          <w:sz w:val="24"/>
          <w:szCs w:val="24"/>
        </w:rPr>
      </w:pPr>
      <w:r w:rsidRPr="003732A8">
        <w:rPr>
          <w:rFonts w:cs="StoneSans-Bold"/>
          <w:color w:val="004DA0"/>
          <w:sz w:val="24"/>
          <w:szCs w:val="24"/>
        </w:rPr>
        <w:t>Type cellulaire</w:t>
      </w:r>
    </w:p>
    <w:p w:rsidR="005424A0" w:rsidRPr="007C4301" w:rsidRDefault="005424A0" w:rsidP="007C4301">
      <w:p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</w:p>
    <w:p w:rsidR="005424A0" w:rsidRDefault="005424A0" w:rsidP="00C25AFC">
      <w:pPr>
        <w:autoSpaceDE w:val="0"/>
        <w:autoSpaceDN w:val="0"/>
        <w:adjustRightInd w:val="0"/>
        <w:spacing w:after="0" w:line="240" w:lineRule="auto"/>
        <w:rPr>
          <w:rFonts w:cs="StoneSans-Bold"/>
          <w:color w:val="004DA0"/>
          <w:sz w:val="24"/>
          <w:szCs w:val="24"/>
        </w:rPr>
      </w:pPr>
      <w:r w:rsidRPr="003732A8">
        <w:rPr>
          <w:rFonts w:cs="StoneSans-Bold"/>
          <w:color w:val="004DA0"/>
          <w:sz w:val="24"/>
          <w:szCs w:val="24"/>
        </w:rPr>
        <w:t>Micro-</w:t>
      </w:r>
      <w:proofErr w:type="spellStart"/>
      <w:r w:rsidRPr="003732A8">
        <w:rPr>
          <w:rFonts w:cs="StoneSans-Bold"/>
          <w:color w:val="004DA0"/>
          <w:sz w:val="24"/>
          <w:szCs w:val="24"/>
        </w:rPr>
        <w:t>angio</w:t>
      </w:r>
      <w:proofErr w:type="spellEnd"/>
      <w:r w:rsidRPr="003732A8">
        <w:rPr>
          <w:rFonts w:cs="StoneSans-Bold"/>
          <w:color w:val="004DA0"/>
          <w:sz w:val="24"/>
          <w:szCs w:val="24"/>
        </w:rPr>
        <w:t>-invasion</w:t>
      </w:r>
    </w:p>
    <w:p w:rsidR="007C4301" w:rsidRPr="003732A8" w:rsidRDefault="007C4301" w:rsidP="00C25AFC">
      <w:p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</w:p>
    <w:p w:rsidR="005424A0" w:rsidRPr="003732A8" w:rsidRDefault="005424A0" w:rsidP="005424A0">
      <w:pPr>
        <w:autoSpaceDE w:val="0"/>
        <w:autoSpaceDN w:val="0"/>
        <w:adjustRightInd w:val="0"/>
        <w:spacing w:after="0" w:line="240" w:lineRule="auto"/>
        <w:rPr>
          <w:rFonts w:cs="StoneSans-Bold"/>
          <w:color w:val="004DA0"/>
          <w:sz w:val="24"/>
          <w:szCs w:val="24"/>
        </w:rPr>
      </w:pPr>
      <w:r w:rsidRPr="003732A8">
        <w:rPr>
          <w:rFonts w:cs="StoneSans-Bold"/>
          <w:color w:val="004DA0"/>
          <w:sz w:val="24"/>
          <w:szCs w:val="24"/>
        </w:rPr>
        <w:t>Facteurs potentiellement pronostiques</w:t>
      </w:r>
    </w:p>
    <w:p w:rsidR="005424A0" w:rsidRPr="003732A8" w:rsidRDefault="005424A0" w:rsidP="00900872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StoneSerif-Semibold"/>
          <w:sz w:val="24"/>
          <w:szCs w:val="24"/>
        </w:rPr>
      </w:pPr>
      <w:r w:rsidRPr="003732A8">
        <w:rPr>
          <w:rFonts w:cs="StoneSerif-Semibold"/>
          <w:sz w:val="24"/>
          <w:szCs w:val="24"/>
        </w:rPr>
        <w:t>Atteinte des voies excrétrices</w:t>
      </w:r>
    </w:p>
    <w:p w:rsidR="005424A0" w:rsidRPr="003732A8" w:rsidRDefault="005424A0" w:rsidP="00900872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StoneSerif-Semibold"/>
          <w:sz w:val="24"/>
          <w:szCs w:val="24"/>
        </w:rPr>
      </w:pPr>
      <w:r w:rsidRPr="003732A8">
        <w:rPr>
          <w:rFonts w:cs="StoneSerif-Semibold"/>
          <w:sz w:val="24"/>
          <w:szCs w:val="24"/>
        </w:rPr>
        <w:t>Nécrose tumorale</w:t>
      </w:r>
    </w:p>
    <w:p w:rsidR="004C4AC5" w:rsidRPr="007C4301" w:rsidRDefault="004C4AC5" w:rsidP="007C4301">
      <w:pPr>
        <w:autoSpaceDE w:val="0"/>
        <w:autoSpaceDN w:val="0"/>
        <w:adjustRightInd w:val="0"/>
        <w:spacing w:after="0" w:line="240" w:lineRule="auto"/>
        <w:rPr>
          <w:rFonts w:cs="StoneSans-Semibold"/>
          <w:sz w:val="24"/>
          <w:szCs w:val="24"/>
        </w:rPr>
      </w:pPr>
    </w:p>
    <w:p w:rsidR="0089549C" w:rsidRPr="003732A8" w:rsidRDefault="0089549C" w:rsidP="0089549C">
      <w:pPr>
        <w:autoSpaceDE w:val="0"/>
        <w:autoSpaceDN w:val="0"/>
        <w:adjustRightInd w:val="0"/>
        <w:spacing w:after="0" w:line="240" w:lineRule="auto"/>
        <w:rPr>
          <w:rFonts w:cs="StoneSans-Semibold"/>
          <w:sz w:val="24"/>
          <w:szCs w:val="24"/>
        </w:rPr>
      </w:pPr>
    </w:p>
    <w:p w:rsidR="0089549C" w:rsidRPr="003732A8" w:rsidRDefault="0089549C" w:rsidP="005B5BE2">
      <w:pPr>
        <w:autoSpaceDE w:val="0"/>
        <w:autoSpaceDN w:val="0"/>
        <w:adjustRightInd w:val="0"/>
        <w:spacing w:after="0" w:line="240" w:lineRule="auto"/>
        <w:rPr>
          <w:rFonts w:cs="StoneSans-Bold"/>
          <w:b/>
          <w:bCs/>
          <w:color w:val="004DA0"/>
          <w:sz w:val="24"/>
          <w:szCs w:val="24"/>
        </w:rPr>
      </w:pPr>
    </w:p>
    <w:p w:rsidR="007C4301" w:rsidRDefault="007C4301" w:rsidP="005B5BE2">
      <w:pPr>
        <w:autoSpaceDE w:val="0"/>
        <w:autoSpaceDN w:val="0"/>
        <w:adjustRightInd w:val="0"/>
        <w:spacing w:after="0" w:line="240" w:lineRule="auto"/>
        <w:rPr>
          <w:rFonts w:cs="StoneSans-Bold"/>
          <w:b/>
          <w:bCs/>
          <w:color w:val="004DA0"/>
          <w:sz w:val="40"/>
          <w:szCs w:val="40"/>
        </w:rPr>
      </w:pPr>
    </w:p>
    <w:p w:rsidR="005B5BE2" w:rsidRPr="007C4301" w:rsidRDefault="005B5BE2" w:rsidP="005B5BE2">
      <w:pPr>
        <w:autoSpaceDE w:val="0"/>
        <w:autoSpaceDN w:val="0"/>
        <w:adjustRightInd w:val="0"/>
        <w:spacing w:after="0" w:line="240" w:lineRule="auto"/>
        <w:rPr>
          <w:rFonts w:cs="StoneSans-Bold"/>
          <w:b/>
          <w:bCs/>
          <w:color w:val="004DA0"/>
          <w:sz w:val="40"/>
          <w:szCs w:val="40"/>
        </w:rPr>
      </w:pPr>
      <w:r w:rsidRPr="007C4301">
        <w:rPr>
          <w:rFonts w:cs="StoneSans-Bold"/>
          <w:b/>
          <w:bCs/>
          <w:color w:val="004DA0"/>
          <w:sz w:val="40"/>
          <w:szCs w:val="40"/>
        </w:rPr>
        <w:lastRenderedPageBreak/>
        <w:t>Clinique</w:t>
      </w:r>
    </w:p>
    <w:p w:rsidR="005B5BE2" w:rsidRPr="003732A8" w:rsidRDefault="005B5BE2" w:rsidP="005B5BE2">
      <w:pPr>
        <w:autoSpaceDE w:val="0"/>
        <w:autoSpaceDN w:val="0"/>
        <w:adjustRightInd w:val="0"/>
        <w:spacing w:after="0" w:line="240" w:lineRule="auto"/>
        <w:rPr>
          <w:rFonts w:cs="StoneSans-Semibold"/>
          <w:color w:val="004DA0"/>
          <w:sz w:val="24"/>
          <w:szCs w:val="24"/>
        </w:rPr>
      </w:pPr>
      <w:r w:rsidRPr="003732A8">
        <w:rPr>
          <w:rFonts w:cs="StoneSans-Semibold"/>
          <w:color w:val="004DA0"/>
          <w:sz w:val="24"/>
          <w:szCs w:val="24"/>
        </w:rPr>
        <w:t>Découverte fortuite</w:t>
      </w:r>
    </w:p>
    <w:p w:rsidR="005B5BE2" w:rsidRPr="003732A8" w:rsidRDefault="005B5BE2" w:rsidP="005B5BE2">
      <w:p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3732A8">
        <w:rPr>
          <w:rFonts w:cs="StoneSerif"/>
          <w:color w:val="1B1C20"/>
          <w:sz w:val="24"/>
          <w:szCs w:val="24"/>
        </w:rPr>
        <w:t xml:space="preserve">L’utilisation de plus en plus répandue de l’échographie, de la TDM abdominale et plus récemment de l’IRM a permis d’augmenter à près de 70 % le diagnostic des cancers du rein à un stade </w:t>
      </w:r>
      <w:proofErr w:type="spellStart"/>
      <w:r w:rsidRPr="003732A8">
        <w:rPr>
          <w:rFonts w:cs="StoneSerif"/>
          <w:color w:val="1B1C20"/>
          <w:sz w:val="24"/>
          <w:szCs w:val="24"/>
        </w:rPr>
        <w:t>présymptomatique</w:t>
      </w:r>
      <w:proofErr w:type="spellEnd"/>
      <w:r w:rsidRPr="003732A8">
        <w:rPr>
          <w:rFonts w:cs="StoneSerif"/>
          <w:color w:val="1B1C20"/>
          <w:sz w:val="24"/>
          <w:szCs w:val="24"/>
        </w:rPr>
        <w:t xml:space="preserve">. </w:t>
      </w:r>
    </w:p>
    <w:p w:rsidR="005B5BE2" w:rsidRPr="003732A8" w:rsidRDefault="005B5BE2" w:rsidP="005B5BE2">
      <w:pPr>
        <w:autoSpaceDE w:val="0"/>
        <w:autoSpaceDN w:val="0"/>
        <w:adjustRightInd w:val="0"/>
        <w:spacing w:after="0" w:line="240" w:lineRule="auto"/>
        <w:rPr>
          <w:rFonts w:cs="StoneSans-Semibold"/>
          <w:color w:val="004DA0"/>
          <w:sz w:val="24"/>
          <w:szCs w:val="24"/>
        </w:rPr>
      </w:pPr>
      <w:r w:rsidRPr="003732A8">
        <w:rPr>
          <w:rFonts w:cs="StoneSans-Semibold"/>
          <w:color w:val="004DA0"/>
          <w:sz w:val="24"/>
          <w:szCs w:val="24"/>
        </w:rPr>
        <w:t>Symptomatologie urologique</w:t>
      </w:r>
    </w:p>
    <w:p w:rsidR="005B5BE2" w:rsidRPr="003732A8" w:rsidRDefault="005B5BE2" w:rsidP="00900872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3732A8">
        <w:rPr>
          <w:rFonts w:cs="StoneSerif"/>
          <w:color w:val="1B1C20"/>
          <w:sz w:val="24"/>
          <w:szCs w:val="24"/>
        </w:rPr>
        <w:t>La triade classique (hématurie, douleur et masse lombaire) n’est que rarement présente et est généralement associée à un stade avancé.</w:t>
      </w:r>
    </w:p>
    <w:p w:rsidR="005B5BE2" w:rsidRPr="003732A8" w:rsidRDefault="005B5BE2" w:rsidP="00900872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3732A8">
        <w:rPr>
          <w:rFonts w:cs="StoneSerif"/>
          <w:color w:val="1B1C20"/>
          <w:sz w:val="24"/>
          <w:szCs w:val="24"/>
        </w:rPr>
        <w:t xml:space="preserve">L’hématurie, classiquement macroscopique, totale, spontanée et capricieuse, peut être isolée dans 20 % des cas. </w:t>
      </w:r>
    </w:p>
    <w:p w:rsidR="005B5BE2" w:rsidRPr="003732A8" w:rsidRDefault="005B5BE2" w:rsidP="00900872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3732A8">
        <w:rPr>
          <w:rFonts w:cs="StoneSerif"/>
          <w:color w:val="1B1C20"/>
          <w:sz w:val="24"/>
          <w:szCs w:val="24"/>
        </w:rPr>
        <w:t xml:space="preserve">La douleur lombaire peut être liée à des hémorragies </w:t>
      </w:r>
      <w:proofErr w:type="spellStart"/>
      <w:r w:rsidRPr="003732A8">
        <w:rPr>
          <w:rFonts w:cs="StoneSerif"/>
          <w:color w:val="1B1C20"/>
          <w:sz w:val="24"/>
          <w:szCs w:val="24"/>
        </w:rPr>
        <w:t>intratumorales</w:t>
      </w:r>
      <w:proofErr w:type="spellEnd"/>
      <w:r w:rsidRPr="003732A8">
        <w:rPr>
          <w:rFonts w:cs="StoneSerif"/>
          <w:color w:val="1B1C20"/>
          <w:sz w:val="24"/>
          <w:szCs w:val="24"/>
        </w:rPr>
        <w:t xml:space="preserve">, à des compressions, à une migration d’un caillot dans l’uretère ou à des envahissements nerveux. </w:t>
      </w:r>
    </w:p>
    <w:p w:rsidR="005B5BE2" w:rsidRPr="003732A8" w:rsidRDefault="005B5BE2" w:rsidP="00900872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3732A8">
        <w:rPr>
          <w:rFonts w:cs="StoneSerif"/>
          <w:color w:val="1B1C20"/>
          <w:sz w:val="24"/>
          <w:szCs w:val="24"/>
        </w:rPr>
        <w:t>La présence d’un de ces symptômes est un facteur pronostique péjoratif.</w:t>
      </w:r>
    </w:p>
    <w:p w:rsidR="005B5BE2" w:rsidRPr="003732A8" w:rsidRDefault="005B5BE2" w:rsidP="005B5BE2">
      <w:pPr>
        <w:autoSpaceDE w:val="0"/>
        <w:autoSpaceDN w:val="0"/>
        <w:adjustRightInd w:val="0"/>
        <w:spacing w:after="0" w:line="240" w:lineRule="auto"/>
        <w:rPr>
          <w:rFonts w:cs="StoneSans-Semibold"/>
          <w:color w:val="004DA0"/>
          <w:sz w:val="24"/>
          <w:szCs w:val="24"/>
        </w:rPr>
      </w:pPr>
      <w:r w:rsidRPr="003732A8">
        <w:rPr>
          <w:rFonts w:cs="StoneSans-Semibold"/>
          <w:color w:val="004DA0"/>
          <w:sz w:val="24"/>
          <w:szCs w:val="24"/>
        </w:rPr>
        <w:t>Signes généraux</w:t>
      </w:r>
    </w:p>
    <w:p w:rsidR="005B5BE2" w:rsidRPr="003732A8" w:rsidRDefault="005B5BE2" w:rsidP="005B5BE2">
      <w:p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3732A8">
        <w:rPr>
          <w:rFonts w:cs="StoneSerif"/>
          <w:color w:val="1B1C20"/>
          <w:sz w:val="24"/>
          <w:szCs w:val="24"/>
        </w:rPr>
        <w:t xml:space="preserve">L’altération de l’état général, (A, A, A) ainsi que les sueurs nocturnes </w:t>
      </w:r>
    </w:p>
    <w:p w:rsidR="005B5BE2" w:rsidRPr="003732A8" w:rsidRDefault="005B5BE2" w:rsidP="005B5BE2">
      <w:pPr>
        <w:autoSpaceDE w:val="0"/>
        <w:autoSpaceDN w:val="0"/>
        <w:adjustRightInd w:val="0"/>
        <w:spacing w:after="0" w:line="240" w:lineRule="auto"/>
        <w:rPr>
          <w:rFonts w:cs="StoneSans-Semibold"/>
          <w:color w:val="004DA0"/>
          <w:sz w:val="24"/>
          <w:szCs w:val="24"/>
        </w:rPr>
      </w:pPr>
      <w:r w:rsidRPr="003732A8">
        <w:rPr>
          <w:rFonts w:cs="StoneSans-Semibold"/>
          <w:color w:val="004DA0"/>
          <w:sz w:val="24"/>
          <w:szCs w:val="24"/>
        </w:rPr>
        <w:t>Manifestations liées à une localisation secondaire</w:t>
      </w:r>
    </w:p>
    <w:p w:rsidR="005B5BE2" w:rsidRPr="00721739" w:rsidRDefault="005B5BE2" w:rsidP="005B5BE2">
      <w:p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3732A8">
        <w:rPr>
          <w:rFonts w:cs="StoneSerif"/>
          <w:color w:val="1B1C20"/>
          <w:sz w:val="24"/>
          <w:szCs w:val="24"/>
        </w:rPr>
        <w:t>Les sites métastatiques sont, par</w:t>
      </w:r>
      <w:r w:rsidRPr="00721739">
        <w:rPr>
          <w:rFonts w:cs="StoneSerif"/>
          <w:color w:val="1B1C20"/>
          <w:sz w:val="24"/>
          <w:szCs w:val="24"/>
        </w:rPr>
        <w:t xml:space="preserve"> ordre de fréquence : les poumons, les ganglions, le foie, l’os, le cerveau, la surrénale, le rein controlatéral. </w:t>
      </w:r>
    </w:p>
    <w:p w:rsidR="005B5BE2" w:rsidRPr="00721739" w:rsidRDefault="005B5BE2" w:rsidP="005B5BE2">
      <w:pPr>
        <w:autoSpaceDE w:val="0"/>
        <w:autoSpaceDN w:val="0"/>
        <w:adjustRightInd w:val="0"/>
        <w:spacing w:after="0" w:line="240" w:lineRule="auto"/>
        <w:rPr>
          <w:rFonts w:cs="StoneSans-Semibold"/>
          <w:color w:val="004DA0"/>
          <w:sz w:val="24"/>
          <w:szCs w:val="24"/>
        </w:rPr>
      </w:pPr>
      <w:r w:rsidRPr="00721739">
        <w:rPr>
          <w:rFonts w:cs="StoneSans-Semibold"/>
          <w:color w:val="004DA0"/>
          <w:sz w:val="24"/>
          <w:szCs w:val="24"/>
        </w:rPr>
        <w:t>Syndromes paranéoplasiques</w:t>
      </w:r>
    </w:p>
    <w:p w:rsidR="005B5BE2" w:rsidRPr="00721739" w:rsidRDefault="005B5BE2" w:rsidP="005B5BE2">
      <w:p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721739">
        <w:rPr>
          <w:rFonts w:cs="StoneSerif"/>
          <w:color w:val="1B1C20"/>
          <w:sz w:val="24"/>
          <w:szCs w:val="24"/>
        </w:rPr>
        <w:t>Dans 20 % des cancers du rein.</w:t>
      </w:r>
    </w:p>
    <w:p w:rsidR="005B5BE2" w:rsidRPr="00721739" w:rsidRDefault="005B5BE2" w:rsidP="005B5BE2">
      <w:p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721739">
        <w:rPr>
          <w:rFonts w:cs="StoneSerif"/>
          <w:color w:val="1B1C20"/>
          <w:sz w:val="24"/>
          <w:szCs w:val="24"/>
        </w:rPr>
        <w:t xml:space="preserve"> Ces syndromes sont la conséquence, soit d’une production d’hormones spécifiques par la tumeur, soit de la réponse immune à la tumeur.</w:t>
      </w:r>
    </w:p>
    <w:p w:rsidR="005B5BE2" w:rsidRPr="00721739" w:rsidRDefault="005B5BE2" w:rsidP="00900872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721739">
        <w:rPr>
          <w:rFonts w:cs="StoneSerif"/>
          <w:color w:val="1B1C20"/>
          <w:sz w:val="24"/>
          <w:szCs w:val="24"/>
        </w:rPr>
        <w:t>L’hyp</w:t>
      </w:r>
      <w:r w:rsidR="007C4301">
        <w:rPr>
          <w:rFonts w:cs="StoneSerif"/>
          <w:color w:val="1B1C20"/>
          <w:sz w:val="24"/>
          <w:szCs w:val="24"/>
        </w:rPr>
        <w:t>ercalcémie </w:t>
      </w:r>
    </w:p>
    <w:p w:rsidR="005B5BE2" w:rsidRPr="00721739" w:rsidRDefault="007C4301" w:rsidP="00900872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>
        <w:rPr>
          <w:rFonts w:cs="StoneSerif"/>
          <w:color w:val="1B1C20"/>
          <w:sz w:val="24"/>
          <w:szCs w:val="24"/>
        </w:rPr>
        <w:t>L’hypertension </w:t>
      </w:r>
    </w:p>
    <w:p w:rsidR="005B5BE2" w:rsidRPr="00721739" w:rsidRDefault="005B5BE2" w:rsidP="00900872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721739">
        <w:rPr>
          <w:rFonts w:cs="StoneSerif"/>
          <w:color w:val="1B1C20"/>
          <w:sz w:val="24"/>
          <w:szCs w:val="24"/>
        </w:rPr>
        <w:t>La polyglob</w:t>
      </w:r>
      <w:r w:rsidR="007C4301">
        <w:rPr>
          <w:rFonts w:cs="StoneSerif"/>
          <w:color w:val="1B1C20"/>
          <w:sz w:val="24"/>
          <w:szCs w:val="24"/>
        </w:rPr>
        <w:t>ulie </w:t>
      </w:r>
    </w:p>
    <w:p w:rsidR="005B5BE2" w:rsidRPr="00721739" w:rsidRDefault="005B5BE2" w:rsidP="00900872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721739">
        <w:rPr>
          <w:rFonts w:cs="StoneSerif"/>
          <w:color w:val="1B1C20"/>
          <w:sz w:val="24"/>
          <w:szCs w:val="24"/>
        </w:rPr>
        <w:t>Le syndrome de Stauffer se caractérise par une atteinte de la</w:t>
      </w:r>
      <w:r w:rsidR="0089549C" w:rsidRPr="00721739">
        <w:rPr>
          <w:rFonts w:cs="StoneSerif"/>
          <w:color w:val="1B1C20"/>
          <w:sz w:val="24"/>
          <w:szCs w:val="24"/>
        </w:rPr>
        <w:t xml:space="preserve"> </w:t>
      </w:r>
      <w:r w:rsidRPr="00721739">
        <w:rPr>
          <w:rFonts w:cs="StoneSerif"/>
          <w:color w:val="1B1C20"/>
          <w:sz w:val="24"/>
          <w:szCs w:val="24"/>
        </w:rPr>
        <w:t xml:space="preserve">fonction hépatique associée à des plages de nécrose </w:t>
      </w:r>
      <w:proofErr w:type="spellStart"/>
      <w:r w:rsidRPr="00721739">
        <w:rPr>
          <w:rFonts w:cs="StoneSerif"/>
          <w:color w:val="1B1C20"/>
          <w:sz w:val="24"/>
          <w:szCs w:val="24"/>
        </w:rPr>
        <w:t>intrahépatiques</w:t>
      </w:r>
      <w:proofErr w:type="spellEnd"/>
      <w:r w:rsidR="0089549C" w:rsidRPr="00721739">
        <w:rPr>
          <w:rFonts w:cs="StoneSerif"/>
          <w:color w:val="1B1C20"/>
          <w:sz w:val="24"/>
          <w:szCs w:val="24"/>
        </w:rPr>
        <w:t xml:space="preserve"> </w:t>
      </w:r>
      <w:r w:rsidRPr="00721739">
        <w:rPr>
          <w:rFonts w:cs="StoneSerif"/>
          <w:color w:val="1B1C20"/>
          <w:sz w:val="24"/>
          <w:szCs w:val="24"/>
        </w:rPr>
        <w:t>non métastatiques, de la fièvre et une leucopénie. Sa</w:t>
      </w:r>
      <w:r w:rsidR="0089549C" w:rsidRPr="00721739">
        <w:rPr>
          <w:rFonts w:cs="StoneSerif"/>
          <w:color w:val="1B1C20"/>
          <w:sz w:val="24"/>
          <w:szCs w:val="24"/>
        </w:rPr>
        <w:t xml:space="preserve"> </w:t>
      </w:r>
      <w:r w:rsidRPr="00721739">
        <w:rPr>
          <w:rFonts w:cs="StoneSerif"/>
          <w:color w:val="1B1C20"/>
          <w:sz w:val="24"/>
          <w:szCs w:val="24"/>
        </w:rPr>
        <w:t>présence signe un pronostic très défavorable.</w:t>
      </w:r>
    </w:p>
    <w:p w:rsidR="005B5BE2" w:rsidRPr="00721739" w:rsidRDefault="005B5BE2" w:rsidP="00900872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721739">
        <w:rPr>
          <w:rFonts w:cs="StoneSerif"/>
          <w:color w:val="1B1C20"/>
          <w:sz w:val="24"/>
          <w:szCs w:val="24"/>
        </w:rPr>
        <w:t>La fièvre au long cours et l</w:t>
      </w:r>
      <w:r w:rsidR="007C4301">
        <w:rPr>
          <w:rFonts w:cs="StoneSerif"/>
          <w:color w:val="1B1C20"/>
          <w:sz w:val="24"/>
          <w:szCs w:val="24"/>
        </w:rPr>
        <w:t>e syndrome inflammatoire </w:t>
      </w:r>
    </w:p>
    <w:p w:rsidR="005B5BE2" w:rsidRPr="00721739" w:rsidRDefault="005B5BE2" w:rsidP="00900872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721739">
        <w:rPr>
          <w:rFonts w:cs="StoneSerif"/>
          <w:color w:val="1B1C20"/>
          <w:sz w:val="24"/>
          <w:szCs w:val="24"/>
        </w:rPr>
        <w:t>L’</w:t>
      </w:r>
      <w:r w:rsidR="007C4301">
        <w:rPr>
          <w:rFonts w:cs="StoneSerif"/>
          <w:color w:val="1B1C20"/>
          <w:sz w:val="24"/>
          <w:szCs w:val="24"/>
        </w:rPr>
        <w:t>anémie </w:t>
      </w:r>
    </w:p>
    <w:p w:rsidR="005B5BE2" w:rsidRPr="00721739" w:rsidRDefault="005B5BE2" w:rsidP="00900872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721739">
        <w:rPr>
          <w:rFonts w:cs="StoneSerif"/>
          <w:color w:val="1B1C20"/>
          <w:sz w:val="24"/>
          <w:szCs w:val="24"/>
        </w:rPr>
        <w:t xml:space="preserve">Le syndrome de Cushing </w:t>
      </w:r>
    </w:p>
    <w:p w:rsidR="0089549C" w:rsidRPr="00721739" w:rsidRDefault="0089549C" w:rsidP="007C4301">
      <w:pPr>
        <w:pStyle w:val="Paragraphedeliste"/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</w:p>
    <w:p w:rsidR="004C4AC5" w:rsidRPr="00721739" w:rsidRDefault="005B5BE2" w:rsidP="00900872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721739">
        <w:rPr>
          <w:rFonts w:cs="StoneSerif"/>
          <w:color w:val="1B1C20"/>
          <w:sz w:val="24"/>
          <w:szCs w:val="24"/>
        </w:rPr>
        <w:t>Les syndromes paranéoplasiques régressent en général après le</w:t>
      </w:r>
      <w:r w:rsidR="0089549C" w:rsidRPr="00721739">
        <w:rPr>
          <w:rFonts w:cs="StoneSerif"/>
          <w:color w:val="1B1C20"/>
          <w:sz w:val="24"/>
          <w:szCs w:val="24"/>
        </w:rPr>
        <w:t xml:space="preserve"> </w:t>
      </w:r>
      <w:r w:rsidRPr="00721739">
        <w:rPr>
          <w:rFonts w:cs="StoneSerif"/>
          <w:color w:val="1B1C20"/>
          <w:sz w:val="24"/>
          <w:szCs w:val="24"/>
        </w:rPr>
        <w:t xml:space="preserve">traitement de la tumeur rénale par chirurgie ou </w:t>
      </w:r>
      <w:proofErr w:type="spellStart"/>
      <w:r w:rsidRPr="00721739">
        <w:rPr>
          <w:rFonts w:cs="StoneSerif"/>
          <w:color w:val="1B1C20"/>
          <w:sz w:val="24"/>
          <w:szCs w:val="24"/>
        </w:rPr>
        <w:t>antiangiogéniques</w:t>
      </w:r>
      <w:proofErr w:type="spellEnd"/>
    </w:p>
    <w:p w:rsidR="0089549C" w:rsidRPr="007C4301" w:rsidRDefault="0089549C" w:rsidP="0089549C">
      <w:pPr>
        <w:autoSpaceDE w:val="0"/>
        <w:autoSpaceDN w:val="0"/>
        <w:adjustRightInd w:val="0"/>
        <w:spacing w:after="0" w:line="240" w:lineRule="auto"/>
        <w:rPr>
          <w:rFonts w:cs="StoneSans-Bold"/>
          <w:b/>
          <w:bCs/>
          <w:color w:val="004DA0"/>
          <w:sz w:val="40"/>
          <w:szCs w:val="40"/>
        </w:rPr>
      </w:pPr>
      <w:r w:rsidRPr="007C4301">
        <w:rPr>
          <w:rFonts w:cs="StoneSans-Bold"/>
          <w:b/>
          <w:bCs/>
          <w:color w:val="004DA0"/>
          <w:sz w:val="40"/>
          <w:szCs w:val="40"/>
        </w:rPr>
        <w:t xml:space="preserve">Imagerie du cancer du rein </w:t>
      </w:r>
    </w:p>
    <w:p w:rsidR="00806BC4" w:rsidRPr="003C08C0" w:rsidRDefault="003C08C0" w:rsidP="003C08C0">
      <w:pPr>
        <w:autoSpaceDE w:val="0"/>
        <w:autoSpaceDN w:val="0"/>
        <w:adjustRightInd w:val="0"/>
        <w:spacing w:after="0" w:line="240" w:lineRule="auto"/>
        <w:rPr>
          <w:rFonts w:cs="StoneSans-Semibold"/>
          <w:b/>
          <w:bCs/>
          <w:color w:val="004DA0"/>
          <w:sz w:val="24"/>
          <w:szCs w:val="24"/>
        </w:rPr>
      </w:pPr>
      <w:r>
        <w:rPr>
          <w:rFonts w:cs="StoneSans-Semibold"/>
          <w:b/>
          <w:bCs/>
          <w:color w:val="004DA0"/>
          <w:sz w:val="24"/>
          <w:szCs w:val="24"/>
        </w:rPr>
        <w:t>1-</w:t>
      </w:r>
      <w:r w:rsidR="00806BC4" w:rsidRPr="003C08C0">
        <w:rPr>
          <w:rFonts w:cs="StoneSans-Semibold"/>
          <w:b/>
          <w:bCs/>
          <w:color w:val="004DA0"/>
          <w:sz w:val="24"/>
          <w:szCs w:val="24"/>
        </w:rPr>
        <w:t>Échographie conventionnelle et Doppler.</w:t>
      </w:r>
    </w:p>
    <w:p w:rsidR="00806BC4" w:rsidRPr="00E7727F" w:rsidRDefault="003C08C0" w:rsidP="00806BC4">
      <w:pPr>
        <w:autoSpaceDE w:val="0"/>
        <w:autoSpaceDN w:val="0"/>
        <w:adjustRightInd w:val="0"/>
        <w:spacing w:after="0" w:line="240" w:lineRule="auto"/>
        <w:rPr>
          <w:rFonts w:cs="StoneSans-Bold"/>
          <w:b/>
          <w:bCs/>
          <w:color w:val="004DA0"/>
          <w:sz w:val="24"/>
          <w:szCs w:val="24"/>
          <w:u w:val="single"/>
        </w:rPr>
      </w:pPr>
      <w:r>
        <w:rPr>
          <w:rFonts w:cs="StoneSans-Bold"/>
          <w:b/>
          <w:bCs/>
          <w:color w:val="004DA0"/>
          <w:sz w:val="24"/>
          <w:szCs w:val="24"/>
        </w:rPr>
        <w:t xml:space="preserve">              </w:t>
      </w:r>
      <w:r w:rsidR="00806BC4" w:rsidRPr="00E7727F">
        <w:rPr>
          <w:rFonts w:cs="StoneSans-Bold"/>
          <w:b/>
          <w:bCs/>
          <w:color w:val="004DA0"/>
          <w:sz w:val="24"/>
          <w:szCs w:val="24"/>
          <w:u w:val="single"/>
        </w:rPr>
        <w:t>Diagnostic</w:t>
      </w:r>
    </w:p>
    <w:p w:rsidR="00806BC4" w:rsidRPr="00721739" w:rsidRDefault="00806BC4" w:rsidP="00806BC4">
      <w:p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721739">
        <w:rPr>
          <w:rFonts w:cs="StoneSerif"/>
          <w:color w:val="1B1C20"/>
          <w:sz w:val="24"/>
          <w:szCs w:val="24"/>
        </w:rPr>
        <w:t>L’échographie est l’examen clé dans le dépistage du cancer du rein: près de 80 % des cas diagnostiqués sont de découverte fortuite</w:t>
      </w:r>
    </w:p>
    <w:p w:rsidR="00806BC4" w:rsidRPr="00721739" w:rsidRDefault="00806BC4" w:rsidP="00806BC4">
      <w:p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721739">
        <w:rPr>
          <w:rFonts w:cs="StoneSerif"/>
          <w:color w:val="1B1C20"/>
          <w:sz w:val="24"/>
          <w:szCs w:val="24"/>
        </w:rPr>
        <w:t xml:space="preserve"> </w:t>
      </w:r>
    </w:p>
    <w:p w:rsidR="00806BC4" w:rsidRPr="003C08C0" w:rsidRDefault="00806BC4" w:rsidP="003C08C0">
      <w:p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721739">
        <w:rPr>
          <w:rFonts w:cs="StoneSerif"/>
          <w:color w:val="1B1C20"/>
          <w:sz w:val="24"/>
          <w:szCs w:val="24"/>
        </w:rPr>
        <w:t xml:space="preserve">Le Doppler confirme parfois l’existence d’une vascularisation anarchique </w:t>
      </w:r>
      <w:proofErr w:type="spellStart"/>
      <w:r w:rsidRPr="00721739">
        <w:rPr>
          <w:rFonts w:cs="StoneSerif"/>
          <w:color w:val="1B1C20"/>
          <w:sz w:val="24"/>
          <w:szCs w:val="24"/>
        </w:rPr>
        <w:t>intratumorale</w:t>
      </w:r>
      <w:proofErr w:type="spellEnd"/>
      <w:r w:rsidRPr="00721739">
        <w:rPr>
          <w:rFonts w:cs="StoneSerif"/>
          <w:color w:val="1B1C20"/>
          <w:sz w:val="24"/>
          <w:szCs w:val="24"/>
        </w:rPr>
        <w:t xml:space="preserve"> avec mise en évidence de shunts </w:t>
      </w:r>
      <w:proofErr w:type="spellStart"/>
      <w:r w:rsidRPr="00721739">
        <w:rPr>
          <w:rFonts w:cs="StoneSerif"/>
          <w:color w:val="1B1C20"/>
          <w:sz w:val="24"/>
          <w:szCs w:val="24"/>
        </w:rPr>
        <w:t>artérioveineux</w:t>
      </w:r>
      <w:proofErr w:type="spellEnd"/>
    </w:p>
    <w:p w:rsidR="00201B72" w:rsidRPr="00E7727F" w:rsidRDefault="003C08C0" w:rsidP="00201B72">
      <w:pPr>
        <w:autoSpaceDE w:val="0"/>
        <w:autoSpaceDN w:val="0"/>
        <w:adjustRightInd w:val="0"/>
        <w:spacing w:after="0" w:line="240" w:lineRule="auto"/>
        <w:rPr>
          <w:rFonts w:cs="StoneSans-Bold"/>
          <w:b/>
          <w:bCs/>
          <w:color w:val="004DA0"/>
          <w:sz w:val="24"/>
          <w:szCs w:val="24"/>
          <w:u w:val="single"/>
        </w:rPr>
      </w:pPr>
      <w:r>
        <w:rPr>
          <w:rFonts w:cs="StoneSans-Bold"/>
          <w:b/>
          <w:bCs/>
          <w:color w:val="004DA0"/>
          <w:sz w:val="24"/>
          <w:szCs w:val="24"/>
        </w:rPr>
        <w:t xml:space="preserve">              </w:t>
      </w:r>
      <w:r w:rsidR="00201B72" w:rsidRPr="00E7727F">
        <w:rPr>
          <w:rFonts w:cs="StoneSans-Bold"/>
          <w:b/>
          <w:bCs/>
          <w:color w:val="004DA0"/>
          <w:sz w:val="24"/>
          <w:szCs w:val="24"/>
          <w:u w:val="single"/>
        </w:rPr>
        <w:t>Bilan d’extension locorégionale</w:t>
      </w:r>
    </w:p>
    <w:p w:rsidR="005424A0" w:rsidRPr="00721739" w:rsidRDefault="00201B72" w:rsidP="003C08C0">
      <w:p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721739">
        <w:rPr>
          <w:rFonts w:cs="StoneSerif"/>
          <w:color w:val="1B1C20"/>
          <w:sz w:val="24"/>
          <w:szCs w:val="24"/>
        </w:rPr>
        <w:t>L’échographie permet de commencer d’emblée le b</w:t>
      </w:r>
      <w:r w:rsidR="003C08C0">
        <w:rPr>
          <w:rFonts w:cs="StoneSerif"/>
          <w:color w:val="1B1C20"/>
          <w:sz w:val="24"/>
          <w:szCs w:val="24"/>
        </w:rPr>
        <w:t xml:space="preserve">ilan d’extension. </w:t>
      </w:r>
    </w:p>
    <w:p w:rsidR="00201B72" w:rsidRPr="003C08C0" w:rsidRDefault="003C08C0" w:rsidP="00201B72">
      <w:pPr>
        <w:autoSpaceDE w:val="0"/>
        <w:autoSpaceDN w:val="0"/>
        <w:adjustRightInd w:val="0"/>
        <w:spacing w:after="0" w:line="240" w:lineRule="auto"/>
        <w:rPr>
          <w:rFonts w:cs="StoneSerif"/>
          <w:b/>
          <w:bCs/>
          <w:color w:val="004DA0"/>
          <w:sz w:val="24"/>
          <w:szCs w:val="24"/>
        </w:rPr>
      </w:pPr>
      <w:r>
        <w:rPr>
          <w:rFonts w:cs="StoneSans-Semibold"/>
          <w:b/>
          <w:bCs/>
          <w:color w:val="004DA0"/>
          <w:sz w:val="24"/>
          <w:szCs w:val="24"/>
        </w:rPr>
        <w:lastRenderedPageBreak/>
        <w:t>2-</w:t>
      </w:r>
      <w:r w:rsidR="00201B72" w:rsidRPr="003C08C0">
        <w:rPr>
          <w:rFonts w:cs="StoneSans-Semibold"/>
          <w:b/>
          <w:bCs/>
          <w:color w:val="004DA0"/>
          <w:sz w:val="24"/>
          <w:szCs w:val="24"/>
        </w:rPr>
        <w:t>Examen tomodensitométrique</w:t>
      </w:r>
    </w:p>
    <w:p w:rsidR="00201B72" w:rsidRPr="00E7727F" w:rsidRDefault="003C08C0" w:rsidP="003C08C0">
      <w:pPr>
        <w:autoSpaceDE w:val="0"/>
        <w:autoSpaceDN w:val="0"/>
        <w:adjustRightInd w:val="0"/>
        <w:spacing w:after="0" w:line="240" w:lineRule="auto"/>
        <w:rPr>
          <w:rFonts w:cs="StoneSans-Bold"/>
          <w:b/>
          <w:bCs/>
          <w:color w:val="004DA0"/>
          <w:sz w:val="24"/>
          <w:szCs w:val="24"/>
          <w:u w:val="single"/>
        </w:rPr>
      </w:pPr>
      <w:r>
        <w:rPr>
          <w:rFonts w:cs="StoneSans-Bold"/>
          <w:b/>
          <w:bCs/>
          <w:color w:val="004DA0"/>
          <w:sz w:val="24"/>
          <w:szCs w:val="24"/>
        </w:rPr>
        <w:t xml:space="preserve">           </w:t>
      </w:r>
      <w:r w:rsidR="00201B72" w:rsidRPr="00E7727F">
        <w:rPr>
          <w:rFonts w:cs="StoneSans-Bold"/>
          <w:b/>
          <w:bCs/>
          <w:color w:val="004DA0"/>
          <w:sz w:val="24"/>
          <w:szCs w:val="24"/>
          <w:u w:val="single"/>
        </w:rPr>
        <w:t>Diagnostic</w:t>
      </w:r>
    </w:p>
    <w:p w:rsidR="00201B72" w:rsidRPr="00721739" w:rsidRDefault="00201B72" w:rsidP="00201B72">
      <w:p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721739">
        <w:rPr>
          <w:rFonts w:cs="StoneSerif"/>
          <w:color w:val="1B1C20"/>
          <w:sz w:val="24"/>
          <w:szCs w:val="24"/>
        </w:rPr>
        <w:t xml:space="preserve">La TDM est la méthode idéale : Détection et la caractérisation d’une tumeur rénale, le bilan d’extension, </w:t>
      </w:r>
    </w:p>
    <w:p w:rsidR="00037633" w:rsidRPr="00E7727F" w:rsidRDefault="003C08C0" w:rsidP="00037633">
      <w:pPr>
        <w:autoSpaceDE w:val="0"/>
        <w:autoSpaceDN w:val="0"/>
        <w:adjustRightInd w:val="0"/>
        <w:spacing w:after="0" w:line="240" w:lineRule="auto"/>
        <w:rPr>
          <w:rFonts w:cs="StoneSans-Bold"/>
          <w:b/>
          <w:bCs/>
          <w:color w:val="004DA0"/>
          <w:sz w:val="24"/>
          <w:szCs w:val="24"/>
          <w:u w:val="single"/>
        </w:rPr>
      </w:pPr>
      <w:r>
        <w:rPr>
          <w:rFonts w:cs="StoneSans-Bold"/>
          <w:b/>
          <w:bCs/>
          <w:color w:val="004DA0"/>
          <w:sz w:val="24"/>
          <w:szCs w:val="24"/>
        </w:rPr>
        <w:t xml:space="preserve">           </w:t>
      </w:r>
      <w:r w:rsidR="00037633" w:rsidRPr="00E7727F">
        <w:rPr>
          <w:rFonts w:cs="StoneSans-Bold"/>
          <w:b/>
          <w:bCs/>
          <w:color w:val="004DA0"/>
          <w:sz w:val="24"/>
          <w:szCs w:val="24"/>
          <w:u w:val="single"/>
        </w:rPr>
        <w:t>Diagnostic différentiel</w:t>
      </w:r>
    </w:p>
    <w:p w:rsidR="00037633" w:rsidRPr="00721739" w:rsidRDefault="003C08C0" w:rsidP="00037633">
      <w:pPr>
        <w:autoSpaceDE w:val="0"/>
        <w:autoSpaceDN w:val="0"/>
        <w:adjustRightInd w:val="0"/>
        <w:spacing w:after="0" w:line="240" w:lineRule="auto"/>
        <w:rPr>
          <w:rFonts w:cs="StoneSerif-Semibold"/>
          <w:color w:val="004DA0"/>
          <w:sz w:val="24"/>
          <w:szCs w:val="24"/>
        </w:rPr>
      </w:pPr>
      <w:r>
        <w:rPr>
          <w:rFonts w:cs="StoneSerif-Semibold"/>
          <w:color w:val="004DA0"/>
          <w:sz w:val="24"/>
          <w:szCs w:val="24"/>
        </w:rPr>
        <w:t xml:space="preserve">      </w:t>
      </w:r>
      <w:r w:rsidR="00037633" w:rsidRPr="00721739">
        <w:rPr>
          <w:rFonts w:cs="StoneSerif-Semibold"/>
          <w:color w:val="004DA0"/>
          <w:sz w:val="24"/>
          <w:szCs w:val="24"/>
        </w:rPr>
        <w:t>Masses kystiques</w:t>
      </w:r>
    </w:p>
    <w:p w:rsidR="00037633" w:rsidRPr="00721739" w:rsidRDefault="003C08C0" w:rsidP="00037633">
      <w:pPr>
        <w:autoSpaceDE w:val="0"/>
        <w:autoSpaceDN w:val="0"/>
        <w:adjustRightInd w:val="0"/>
        <w:spacing w:after="0" w:line="240" w:lineRule="auto"/>
        <w:rPr>
          <w:rFonts w:cs="StoneSerif-Semibold"/>
          <w:color w:val="004DA0"/>
          <w:sz w:val="24"/>
          <w:szCs w:val="24"/>
        </w:rPr>
      </w:pPr>
      <w:r>
        <w:rPr>
          <w:rFonts w:cs="StoneSerif-Semibold"/>
          <w:color w:val="004DA0"/>
          <w:sz w:val="24"/>
          <w:szCs w:val="24"/>
        </w:rPr>
        <w:t xml:space="preserve">      </w:t>
      </w:r>
      <w:r w:rsidR="00037633" w:rsidRPr="00721739">
        <w:rPr>
          <w:rFonts w:cs="StoneSerif-Semibold"/>
          <w:color w:val="004DA0"/>
          <w:sz w:val="24"/>
          <w:szCs w:val="24"/>
        </w:rPr>
        <w:t>Masses solides bénignes</w:t>
      </w:r>
    </w:p>
    <w:p w:rsidR="00037633" w:rsidRPr="00721739" w:rsidRDefault="003C08C0" w:rsidP="00037633">
      <w:pPr>
        <w:autoSpaceDE w:val="0"/>
        <w:autoSpaceDN w:val="0"/>
        <w:adjustRightInd w:val="0"/>
        <w:spacing w:after="0" w:line="240" w:lineRule="auto"/>
        <w:rPr>
          <w:rFonts w:cs="StoneSerif-Semibold"/>
          <w:color w:val="004DA0"/>
          <w:sz w:val="24"/>
          <w:szCs w:val="24"/>
        </w:rPr>
      </w:pPr>
      <w:r>
        <w:rPr>
          <w:rFonts w:cs="StoneSerif-Semibold"/>
          <w:color w:val="004DA0"/>
          <w:sz w:val="24"/>
          <w:szCs w:val="24"/>
        </w:rPr>
        <w:t xml:space="preserve">      </w:t>
      </w:r>
      <w:r w:rsidR="00037633" w:rsidRPr="00721739">
        <w:rPr>
          <w:rFonts w:cs="StoneSerif-Semibold"/>
          <w:color w:val="004DA0"/>
          <w:sz w:val="24"/>
          <w:szCs w:val="24"/>
        </w:rPr>
        <w:t>Masses solides malignes</w:t>
      </w:r>
    </w:p>
    <w:p w:rsidR="00037633" w:rsidRPr="00721739" w:rsidRDefault="00037633" w:rsidP="00037633">
      <w:p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721739">
        <w:rPr>
          <w:rFonts w:cs="StoneSerif"/>
          <w:color w:val="1B1C20"/>
          <w:sz w:val="24"/>
          <w:szCs w:val="24"/>
        </w:rPr>
        <w:t>Les métastases rénales ont la particularité d’être multiples et bilatérales.</w:t>
      </w:r>
    </w:p>
    <w:p w:rsidR="00037633" w:rsidRPr="00E7727F" w:rsidRDefault="003C08C0" w:rsidP="00037633">
      <w:pPr>
        <w:autoSpaceDE w:val="0"/>
        <w:autoSpaceDN w:val="0"/>
        <w:adjustRightInd w:val="0"/>
        <w:spacing w:after="0" w:line="240" w:lineRule="auto"/>
        <w:rPr>
          <w:rFonts w:cs="StoneSerif-Semibold"/>
          <w:color w:val="004DA0"/>
          <w:sz w:val="24"/>
          <w:szCs w:val="24"/>
          <w:u w:val="single"/>
        </w:rPr>
      </w:pPr>
      <w:r>
        <w:rPr>
          <w:rFonts w:cs="StoneSerif-Semibold"/>
          <w:color w:val="004DA0"/>
          <w:sz w:val="24"/>
          <w:szCs w:val="24"/>
        </w:rPr>
        <w:t xml:space="preserve">           </w:t>
      </w:r>
      <w:r w:rsidR="00037633" w:rsidRPr="00E7727F">
        <w:rPr>
          <w:rFonts w:cs="StoneSerif-Semibold"/>
          <w:color w:val="004DA0"/>
          <w:sz w:val="24"/>
          <w:szCs w:val="24"/>
          <w:u w:val="single"/>
        </w:rPr>
        <w:t>Bilan d’extension locorégionale</w:t>
      </w:r>
    </w:p>
    <w:p w:rsidR="00037633" w:rsidRPr="00721739" w:rsidRDefault="00037633" w:rsidP="00900872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721739">
        <w:rPr>
          <w:rFonts w:cs="StoneSerif"/>
          <w:color w:val="1B1C20"/>
          <w:sz w:val="24"/>
          <w:szCs w:val="24"/>
        </w:rPr>
        <w:t xml:space="preserve">L’extension </w:t>
      </w:r>
      <w:proofErr w:type="spellStart"/>
      <w:r w:rsidRPr="00721739">
        <w:rPr>
          <w:rFonts w:cs="StoneSerif"/>
          <w:color w:val="1B1C20"/>
          <w:sz w:val="24"/>
          <w:szCs w:val="24"/>
        </w:rPr>
        <w:t>extracapsulaire</w:t>
      </w:r>
      <w:proofErr w:type="spellEnd"/>
      <w:r w:rsidRPr="00721739">
        <w:rPr>
          <w:rFonts w:cs="StoneSerif"/>
          <w:color w:val="1B1C20"/>
          <w:sz w:val="24"/>
          <w:szCs w:val="24"/>
        </w:rPr>
        <w:t xml:space="preserve"> dans l</w:t>
      </w:r>
      <w:r w:rsidR="003C08C0">
        <w:rPr>
          <w:rFonts w:cs="StoneSerif"/>
          <w:color w:val="1B1C20"/>
          <w:sz w:val="24"/>
          <w:szCs w:val="24"/>
        </w:rPr>
        <w:t xml:space="preserve">’espace </w:t>
      </w:r>
      <w:proofErr w:type="spellStart"/>
      <w:r w:rsidR="003C08C0">
        <w:rPr>
          <w:rFonts w:cs="StoneSerif"/>
          <w:color w:val="1B1C20"/>
          <w:sz w:val="24"/>
          <w:szCs w:val="24"/>
        </w:rPr>
        <w:t>périrénal</w:t>
      </w:r>
      <w:proofErr w:type="spellEnd"/>
    </w:p>
    <w:p w:rsidR="0091536F" w:rsidRPr="00721739" w:rsidRDefault="00037633" w:rsidP="00900872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721739">
        <w:rPr>
          <w:rFonts w:cs="StoneSerif"/>
          <w:color w:val="1B1C20"/>
          <w:sz w:val="24"/>
          <w:szCs w:val="24"/>
        </w:rPr>
        <w:t>L’extension veineuse à la veine rénale et à la veine cave</w:t>
      </w:r>
      <w:r w:rsidR="0091536F" w:rsidRPr="00721739">
        <w:rPr>
          <w:rFonts w:cs="StoneSerif"/>
          <w:color w:val="1B1C20"/>
          <w:sz w:val="24"/>
          <w:szCs w:val="24"/>
        </w:rPr>
        <w:t xml:space="preserve"> </w:t>
      </w:r>
      <w:r w:rsidR="003C08C0">
        <w:rPr>
          <w:rFonts w:cs="StoneSerif"/>
          <w:color w:val="1B1C20"/>
          <w:sz w:val="24"/>
          <w:szCs w:val="24"/>
        </w:rPr>
        <w:t xml:space="preserve">inférieure </w:t>
      </w:r>
      <w:r w:rsidRPr="00721739">
        <w:rPr>
          <w:rFonts w:cs="StoneSerif"/>
          <w:color w:val="1B1C20"/>
          <w:sz w:val="24"/>
          <w:szCs w:val="24"/>
        </w:rPr>
        <w:t xml:space="preserve"> </w:t>
      </w:r>
    </w:p>
    <w:p w:rsidR="00037633" w:rsidRPr="00721739" w:rsidRDefault="00037633" w:rsidP="00900872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721739">
        <w:rPr>
          <w:rFonts w:cs="StoneSerif"/>
          <w:color w:val="1B1C20"/>
          <w:sz w:val="24"/>
          <w:szCs w:val="24"/>
        </w:rPr>
        <w:t>L’extension</w:t>
      </w:r>
      <w:r w:rsidR="0091536F" w:rsidRPr="00721739">
        <w:rPr>
          <w:rFonts w:cs="StoneSerif"/>
          <w:color w:val="1B1C20"/>
          <w:sz w:val="24"/>
          <w:szCs w:val="24"/>
        </w:rPr>
        <w:t xml:space="preserve"> </w:t>
      </w:r>
      <w:r w:rsidRPr="00721739">
        <w:rPr>
          <w:rFonts w:cs="StoneSerif"/>
          <w:color w:val="1B1C20"/>
          <w:sz w:val="24"/>
          <w:szCs w:val="24"/>
        </w:rPr>
        <w:t>g</w:t>
      </w:r>
      <w:r w:rsidR="003C08C0">
        <w:rPr>
          <w:rFonts w:cs="StoneSerif"/>
          <w:color w:val="1B1C20"/>
          <w:sz w:val="24"/>
          <w:szCs w:val="24"/>
        </w:rPr>
        <w:t xml:space="preserve">anglionnaire </w:t>
      </w:r>
    </w:p>
    <w:p w:rsidR="0091536F" w:rsidRPr="00721739" w:rsidRDefault="00037633" w:rsidP="00900872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721739">
        <w:rPr>
          <w:rFonts w:cs="StoneSerif"/>
          <w:color w:val="1B1C20"/>
          <w:sz w:val="24"/>
          <w:szCs w:val="24"/>
        </w:rPr>
        <w:t>L’extension aux viscèr</w:t>
      </w:r>
      <w:r w:rsidR="003C08C0">
        <w:rPr>
          <w:rFonts w:cs="StoneSerif"/>
          <w:color w:val="1B1C20"/>
          <w:sz w:val="24"/>
          <w:szCs w:val="24"/>
        </w:rPr>
        <w:t xml:space="preserve">es voisins </w:t>
      </w:r>
      <w:r w:rsidRPr="00721739">
        <w:rPr>
          <w:rFonts w:cs="StoneSerif"/>
          <w:color w:val="1B1C20"/>
          <w:sz w:val="24"/>
          <w:szCs w:val="24"/>
        </w:rPr>
        <w:t xml:space="preserve"> </w:t>
      </w:r>
    </w:p>
    <w:p w:rsidR="0091536F" w:rsidRPr="00721739" w:rsidRDefault="00037633" w:rsidP="00900872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721739">
        <w:rPr>
          <w:rFonts w:cs="StoneSerif"/>
          <w:color w:val="1B1C20"/>
          <w:sz w:val="24"/>
          <w:szCs w:val="24"/>
        </w:rPr>
        <w:t>L’analyse du rein</w:t>
      </w:r>
      <w:r w:rsidR="0091536F" w:rsidRPr="00721739">
        <w:rPr>
          <w:rFonts w:cs="StoneSerif"/>
          <w:color w:val="1B1C20"/>
          <w:sz w:val="24"/>
          <w:szCs w:val="24"/>
        </w:rPr>
        <w:t xml:space="preserve"> controlatéral </w:t>
      </w:r>
      <w:r w:rsidRPr="00721739">
        <w:rPr>
          <w:rFonts w:cs="StoneSerif"/>
          <w:color w:val="1B1C20"/>
          <w:sz w:val="24"/>
          <w:szCs w:val="24"/>
        </w:rPr>
        <w:t>à la recherche</w:t>
      </w:r>
      <w:r w:rsidR="0091536F" w:rsidRPr="00721739">
        <w:rPr>
          <w:rFonts w:cs="StoneSerif"/>
          <w:color w:val="1B1C20"/>
          <w:sz w:val="24"/>
          <w:szCs w:val="24"/>
        </w:rPr>
        <w:t xml:space="preserve"> </w:t>
      </w:r>
      <w:r w:rsidRPr="00721739">
        <w:rPr>
          <w:rFonts w:cs="StoneSerif"/>
          <w:color w:val="1B1C20"/>
          <w:sz w:val="24"/>
          <w:szCs w:val="24"/>
        </w:rPr>
        <w:t xml:space="preserve">d’une lésion bilatérale </w:t>
      </w:r>
    </w:p>
    <w:p w:rsidR="00351376" w:rsidRPr="00721739" w:rsidRDefault="00037633" w:rsidP="00900872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721739">
        <w:rPr>
          <w:rFonts w:cs="StoneSerif"/>
          <w:color w:val="1B1C20"/>
          <w:sz w:val="24"/>
          <w:szCs w:val="24"/>
        </w:rPr>
        <w:t>L’examen TDM est plus performant pour détecter des métastases</w:t>
      </w:r>
      <w:r w:rsidR="0091536F" w:rsidRPr="00721739">
        <w:rPr>
          <w:rFonts w:cs="StoneSerif"/>
          <w:color w:val="1B1C20"/>
          <w:sz w:val="24"/>
          <w:szCs w:val="24"/>
        </w:rPr>
        <w:t xml:space="preserve"> </w:t>
      </w:r>
      <w:r w:rsidRPr="00721739">
        <w:rPr>
          <w:rFonts w:cs="StoneSerif"/>
          <w:color w:val="1B1C20"/>
          <w:sz w:val="24"/>
          <w:szCs w:val="24"/>
        </w:rPr>
        <w:t xml:space="preserve">pulmonaires ou la présence d’adénopathies </w:t>
      </w:r>
      <w:proofErr w:type="spellStart"/>
      <w:r w:rsidRPr="00721739">
        <w:rPr>
          <w:rFonts w:cs="StoneSerif"/>
          <w:color w:val="1B1C20"/>
          <w:sz w:val="24"/>
          <w:szCs w:val="24"/>
        </w:rPr>
        <w:t>médiastinales</w:t>
      </w:r>
      <w:proofErr w:type="spellEnd"/>
      <w:r w:rsidR="0091536F" w:rsidRPr="00721739">
        <w:rPr>
          <w:rFonts w:cs="StoneSerif"/>
          <w:color w:val="1B1C20"/>
          <w:sz w:val="24"/>
          <w:szCs w:val="24"/>
        </w:rPr>
        <w:t xml:space="preserve"> </w:t>
      </w:r>
      <w:r w:rsidRPr="00721739">
        <w:rPr>
          <w:rFonts w:cs="StoneSerif"/>
          <w:color w:val="1B1C20"/>
          <w:sz w:val="24"/>
          <w:szCs w:val="24"/>
        </w:rPr>
        <w:t>que le cliché standard du thorax.</w:t>
      </w:r>
    </w:p>
    <w:p w:rsidR="00351376" w:rsidRPr="003C08C0" w:rsidRDefault="003C08C0" w:rsidP="00351376">
      <w:pPr>
        <w:autoSpaceDE w:val="0"/>
        <w:autoSpaceDN w:val="0"/>
        <w:adjustRightInd w:val="0"/>
        <w:spacing w:after="0" w:line="240" w:lineRule="auto"/>
        <w:rPr>
          <w:rFonts w:cs="StoneSerif"/>
          <w:b/>
          <w:bCs/>
          <w:color w:val="004DA0"/>
          <w:sz w:val="24"/>
          <w:szCs w:val="24"/>
        </w:rPr>
      </w:pPr>
      <w:r>
        <w:rPr>
          <w:rFonts w:cs="StoneSans-Semibold"/>
          <w:b/>
          <w:bCs/>
          <w:color w:val="004DA0"/>
          <w:sz w:val="24"/>
          <w:szCs w:val="24"/>
        </w:rPr>
        <w:t>3-</w:t>
      </w:r>
      <w:r w:rsidR="00351376" w:rsidRPr="003C08C0">
        <w:rPr>
          <w:rFonts w:cs="StoneSans-Semibold"/>
          <w:b/>
          <w:bCs/>
          <w:color w:val="004DA0"/>
          <w:sz w:val="24"/>
          <w:szCs w:val="24"/>
        </w:rPr>
        <w:t>Imagerie par résonance magnétique</w:t>
      </w:r>
    </w:p>
    <w:p w:rsidR="00351376" w:rsidRPr="00E7727F" w:rsidRDefault="003C08C0" w:rsidP="00351376">
      <w:pPr>
        <w:autoSpaceDE w:val="0"/>
        <w:autoSpaceDN w:val="0"/>
        <w:adjustRightInd w:val="0"/>
        <w:spacing w:after="0" w:line="240" w:lineRule="auto"/>
        <w:rPr>
          <w:rFonts w:cs="StoneSans-Bold"/>
          <w:b/>
          <w:bCs/>
          <w:color w:val="004DA0"/>
          <w:sz w:val="24"/>
          <w:szCs w:val="24"/>
          <w:u w:val="single"/>
        </w:rPr>
      </w:pPr>
      <w:r>
        <w:rPr>
          <w:rFonts w:cs="StoneSans-Bold"/>
          <w:b/>
          <w:bCs/>
          <w:color w:val="004DA0"/>
          <w:sz w:val="24"/>
          <w:szCs w:val="24"/>
        </w:rPr>
        <w:t xml:space="preserve">             </w:t>
      </w:r>
      <w:r w:rsidR="00351376" w:rsidRPr="00E7727F">
        <w:rPr>
          <w:rFonts w:cs="StoneSans-Bold"/>
          <w:b/>
          <w:bCs/>
          <w:color w:val="004DA0"/>
          <w:sz w:val="24"/>
          <w:szCs w:val="24"/>
          <w:u w:val="single"/>
        </w:rPr>
        <w:t>Diagnostic</w:t>
      </w:r>
    </w:p>
    <w:p w:rsidR="00351376" w:rsidRPr="00721739" w:rsidRDefault="00C54E79" w:rsidP="00900872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721739">
        <w:rPr>
          <w:rFonts w:cs="StoneSerif"/>
          <w:color w:val="1B1C20"/>
          <w:sz w:val="24"/>
          <w:szCs w:val="24"/>
        </w:rPr>
        <w:t xml:space="preserve">Une meilleure performance </w:t>
      </w:r>
      <w:r w:rsidR="00351376" w:rsidRPr="00721739">
        <w:rPr>
          <w:rFonts w:cs="StoneSerif"/>
          <w:color w:val="1B1C20"/>
          <w:sz w:val="24"/>
          <w:szCs w:val="24"/>
        </w:rPr>
        <w:t xml:space="preserve">de l’IRM pour des lésions </w:t>
      </w:r>
      <w:r w:rsidRPr="00721739">
        <w:rPr>
          <w:rFonts w:cs="StoneSerif"/>
          <w:color w:val="1B1C20"/>
          <w:sz w:val="24"/>
          <w:szCs w:val="24"/>
        </w:rPr>
        <w:t>de petite dimension (&lt;</w:t>
      </w:r>
      <w:r w:rsidR="00351376" w:rsidRPr="00721739">
        <w:rPr>
          <w:rFonts w:cs="StoneSerif"/>
          <w:color w:val="1B1C20"/>
          <w:sz w:val="24"/>
          <w:szCs w:val="24"/>
        </w:rPr>
        <w:t xml:space="preserve"> à</w:t>
      </w:r>
      <w:r w:rsidRPr="00721739">
        <w:rPr>
          <w:rFonts w:cs="StoneSerif"/>
          <w:color w:val="1B1C20"/>
          <w:sz w:val="24"/>
          <w:szCs w:val="24"/>
        </w:rPr>
        <w:t xml:space="preserve"> </w:t>
      </w:r>
      <w:r w:rsidR="00351376" w:rsidRPr="00721739">
        <w:rPr>
          <w:rFonts w:cs="StoneSerif"/>
          <w:color w:val="1B1C20"/>
          <w:sz w:val="24"/>
          <w:szCs w:val="24"/>
        </w:rPr>
        <w:t xml:space="preserve">3 cm). </w:t>
      </w:r>
    </w:p>
    <w:p w:rsidR="00351376" w:rsidRPr="00E7727F" w:rsidRDefault="003C08C0" w:rsidP="00351376">
      <w:pPr>
        <w:autoSpaceDE w:val="0"/>
        <w:autoSpaceDN w:val="0"/>
        <w:adjustRightInd w:val="0"/>
        <w:spacing w:after="0" w:line="240" w:lineRule="auto"/>
        <w:rPr>
          <w:rFonts w:cs="StoneSans-Bold"/>
          <w:b/>
          <w:bCs/>
          <w:color w:val="004DA0"/>
          <w:sz w:val="24"/>
          <w:szCs w:val="24"/>
          <w:u w:val="single"/>
        </w:rPr>
      </w:pPr>
      <w:r>
        <w:rPr>
          <w:rFonts w:cs="StoneSans-Bold"/>
          <w:b/>
          <w:bCs/>
          <w:color w:val="004DA0"/>
          <w:sz w:val="24"/>
          <w:szCs w:val="24"/>
        </w:rPr>
        <w:t xml:space="preserve">             </w:t>
      </w:r>
      <w:r w:rsidR="00351376" w:rsidRPr="00E7727F">
        <w:rPr>
          <w:rFonts w:cs="StoneSans-Bold"/>
          <w:b/>
          <w:bCs/>
          <w:color w:val="004DA0"/>
          <w:sz w:val="24"/>
          <w:szCs w:val="24"/>
          <w:u w:val="single"/>
        </w:rPr>
        <w:t>Bilan d’extension locorégionale</w:t>
      </w:r>
    </w:p>
    <w:p w:rsidR="00C54E79" w:rsidRPr="00721739" w:rsidRDefault="00C54E79" w:rsidP="00C54E79">
      <w:p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721739">
        <w:rPr>
          <w:rFonts w:cs="StoneSerif"/>
          <w:color w:val="1B1C20"/>
          <w:sz w:val="24"/>
          <w:szCs w:val="24"/>
        </w:rPr>
        <w:t>L’IRM a deux principaux avantages par rapport à la TDM :</w:t>
      </w:r>
    </w:p>
    <w:p w:rsidR="001E1753" w:rsidRPr="003C08C0" w:rsidRDefault="00C54E79" w:rsidP="00900872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="GentiumBookBasic"/>
          <w:sz w:val="24"/>
          <w:szCs w:val="24"/>
        </w:rPr>
      </w:pPr>
      <w:r w:rsidRPr="003C08C0">
        <w:rPr>
          <w:rFonts w:cs="StoneSerif"/>
          <w:color w:val="1B1C20"/>
          <w:sz w:val="24"/>
          <w:szCs w:val="24"/>
        </w:rPr>
        <w:t xml:space="preserve">Une meilleure détection et une meilleure caractérisation des petites lésions suspectes </w:t>
      </w:r>
      <w:r w:rsidR="001E1753" w:rsidRPr="003C08C0">
        <w:rPr>
          <w:rFonts w:cs="GentiumBookBasic"/>
          <w:sz w:val="24"/>
          <w:szCs w:val="24"/>
        </w:rPr>
        <w:t>Dans le suivi des traitements mini-invasifs des cancers du rein.</w:t>
      </w:r>
    </w:p>
    <w:p w:rsidR="007278D8" w:rsidRPr="003C08C0" w:rsidRDefault="00C54E79" w:rsidP="003C08C0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="TT2E74o00"/>
          <w:color w:val="365F91" w:themeColor="accent1" w:themeShade="BF"/>
          <w:sz w:val="24"/>
          <w:szCs w:val="24"/>
        </w:rPr>
      </w:pPr>
      <w:r w:rsidRPr="003C08C0">
        <w:rPr>
          <w:rFonts w:cs="StoneSerif"/>
          <w:color w:val="1B1C20"/>
          <w:sz w:val="24"/>
          <w:szCs w:val="24"/>
        </w:rPr>
        <w:t>Un bilan d’extension précis,</w:t>
      </w:r>
    </w:p>
    <w:p w:rsidR="007278D8" w:rsidRDefault="007278D8" w:rsidP="007278D8">
      <w:pPr>
        <w:autoSpaceDE w:val="0"/>
        <w:autoSpaceDN w:val="0"/>
        <w:adjustRightInd w:val="0"/>
        <w:spacing w:after="0" w:line="240" w:lineRule="auto"/>
        <w:rPr>
          <w:rFonts w:cs="TT2E74o00"/>
          <w:color w:val="365F91" w:themeColor="accent1" w:themeShade="BF"/>
          <w:sz w:val="24"/>
          <w:szCs w:val="24"/>
        </w:rPr>
      </w:pPr>
    </w:p>
    <w:p w:rsidR="007278D8" w:rsidRDefault="007278D8" w:rsidP="007278D8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="TT2E63o00"/>
          <w:sz w:val="24"/>
          <w:szCs w:val="24"/>
        </w:rPr>
      </w:pPr>
    </w:p>
    <w:p w:rsidR="007278D8" w:rsidRDefault="007278D8" w:rsidP="007278D8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="TT2E63o00"/>
          <w:sz w:val="24"/>
          <w:szCs w:val="24"/>
        </w:rPr>
      </w:pPr>
    </w:p>
    <w:p w:rsidR="001E1753" w:rsidRDefault="001E1753" w:rsidP="001E1753">
      <w:p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</w:p>
    <w:p w:rsidR="0091215A" w:rsidRPr="00E7727F" w:rsidRDefault="0091215A" w:rsidP="001E1753">
      <w:p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52"/>
          <w:szCs w:val="52"/>
        </w:rPr>
      </w:pPr>
    </w:p>
    <w:p w:rsidR="003732A8" w:rsidRPr="00E7727F" w:rsidRDefault="000B4B5F" w:rsidP="001E1753">
      <w:p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52"/>
          <w:szCs w:val="52"/>
        </w:rPr>
      </w:pPr>
      <w:r w:rsidRPr="00E7727F">
        <w:rPr>
          <w:rFonts w:cs="StoneSerif"/>
          <w:color w:val="1B1C20"/>
          <w:sz w:val="52"/>
          <w:szCs w:val="52"/>
        </w:rPr>
        <w:t>TRAITEMENT :</w:t>
      </w:r>
    </w:p>
    <w:p w:rsidR="000B4B5F" w:rsidRPr="00E7727F" w:rsidRDefault="00E7727F" w:rsidP="000B4B5F">
      <w:pPr>
        <w:autoSpaceDE w:val="0"/>
        <w:autoSpaceDN w:val="0"/>
        <w:adjustRightInd w:val="0"/>
        <w:spacing w:after="0" w:line="240" w:lineRule="auto"/>
        <w:rPr>
          <w:rFonts w:cs="StoneSans-Semibold"/>
          <w:b/>
          <w:bCs/>
          <w:color w:val="004DA0"/>
          <w:sz w:val="44"/>
          <w:szCs w:val="44"/>
        </w:rPr>
      </w:pPr>
      <w:r w:rsidRPr="00E7727F">
        <w:rPr>
          <w:rFonts w:cs="StoneSans-Semibold"/>
          <w:b/>
          <w:bCs/>
          <w:color w:val="004DA0"/>
          <w:sz w:val="44"/>
          <w:szCs w:val="44"/>
        </w:rPr>
        <w:t>1/-</w:t>
      </w:r>
      <w:r w:rsidR="000B4B5F" w:rsidRPr="00E7727F">
        <w:rPr>
          <w:rFonts w:cs="StoneSans-Semibold"/>
          <w:b/>
          <w:bCs/>
          <w:color w:val="004DA0"/>
          <w:sz w:val="44"/>
          <w:szCs w:val="44"/>
        </w:rPr>
        <w:t>Cancer du rein localisé (T1-2)</w:t>
      </w:r>
    </w:p>
    <w:p w:rsidR="000B4B5F" w:rsidRPr="000B4B5F" w:rsidRDefault="000B4B5F" w:rsidP="000B4B5F">
      <w:p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0B4B5F">
        <w:rPr>
          <w:rFonts w:cs="StoneSerif"/>
          <w:color w:val="1B1C20"/>
          <w:sz w:val="24"/>
          <w:szCs w:val="24"/>
        </w:rPr>
        <w:t>Le traitement chirurgical est le seul traitement efficace du</w:t>
      </w:r>
      <w:r>
        <w:rPr>
          <w:rFonts w:cs="StoneSerif"/>
          <w:color w:val="1B1C20"/>
          <w:sz w:val="24"/>
          <w:szCs w:val="24"/>
        </w:rPr>
        <w:t xml:space="preserve"> </w:t>
      </w:r>
      <w:r w:rsidRPr="000B4B5F">
        <w:rPr>
          <w:rFonts w:cs="StoneSerif"/>
          <w:color w:val="1B1C20"/>
          <w:sz w:val="24"/>
          <w:szCs w:val="24"/>
        </w:rPr>
        <w:t>cancer du rein au stade localisé.</w:t>
      </w:r>
    </w:p>
    <w:p w:rsidR="000B4B5F" w:rsidRPr="00E7727F" w:rsidRDefault="000B4B5F" w:rsidP="000B4B5F">
      <w:pPr>
        <w:autoSpaceDE w:val="0"/>
        <w:autoSpaceDN w:val="0"/>
        <w:adjustRightInd w:val="0"/>
        <w:spacing w:after="0" w:line="240" w:lineRule="auto"/>
        <w:rPr>
          <w:rFonts w:cs="StoneSerif-Semibold"/>
          <w:b/>
          <w:bCs/>
          <w:color w:val="004DA0"/>
          <w:sz w:val="24"/>
          <w:szCs w:val="24"/>
          <w:u w:val="single"/>
        </w:rPr>
      </w:pPr>
      <w:r w:rsidRPr="00E7727F">
        <w:rPr>
          <w:rFonts w:cs="StoneSerif-Semibold"/>
          <w:b/>
          <w:bCs/>
          <w:color w:val="004DA0"/>
          <w:sz w:val="24"/>
          <w:szCs w:val="24"/>
          <w:u w:val="single"/>
        </w:rPr>
        <w:t>Néphrectomie totale élargie</w:t>
      </w:r>
    </w:p>
    <w:p w:rsidR="007B70A5" w:rsidRDefault="001E01D0" w:rsidP="007B70A5">
      <w:pPr>
        <w:pStyle w:val="Paragraphedeliste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1E01D0">
        <w:rPr>
          <w:rFonts w:cs="StoneSerif"/>
          <w:color w:val="1B1C20"/>
          <w:sz w:val="24"/>
          <w:szCs w:val="24"/>
        </w:rPr>
        <w:t>La NTE</w:t>
      </w:r>
      <w:r w:rsidR="000B4B5F" w:rsidRPr="001E01D0">
        <w:rPr>
          <w:rFonts w:cs="StoneSerif"/>
          <w:color w:val="1B1C20"/>
          <w:sz w:val="24"/>
          <w:szCs w:val="24"/>
        </w:rPr>
        <w:t xml:space="preserve"> est le traitement de référence pour les tumeurs de plus de 7 cm </w:t>
      </w:r>
    </w:p>
    <w:p w:rsidR="007B70A5" w:rsidRPr="007B70A5" w:rsidRDefault="007B70A5" w:rsidP="007B70A5">
      <w:pPr>
        <w:pStyle w:val="Paragraphedeliste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>
        <w:rPr>
          <w:rFonts w:cs="Verdana-Bold"/>
          <w:sz w:val="24"/>
          <w:szCs w:val="24"/>
        </w:rPr>
        <w:t>NTE</w:t>
      </w:r>
      <w:r w:rsidRPr="007B70A5">
        <w:rPr>
          <w:rFonts w:cs="Verdana-Bold"/>
          <w:sz w:val="24"/>
          <w:szCs w:val="24"/>
        </w:rPr>
        <w:t xml:space="preserve"> pour cancer a pour but l'ablation en un seul bloc du rein,</w:t>
      </w:r>
      <w:r>
        <w:rPr>
          <w:rFonts w:cs="Verdana-Bold"/>
          <w:sz w:val="24"/>
          <w:szCs w:val="24"/>
        </w:rPr>
        <w:t xml:space="preserve"> </w:t>
      </w:r>
      <w:r w:rsidRPr="007B70A5">
        <w:rPr>
          <w:rFonts w:cs="Verdana-Bold"/>
          <w:sz w:val="24"/>
          <w:szCs w:val="24"/>
        </w:rPr>
        <w:t xml:space="preserve">de la graisse </w:t>
      </w:r>
      <w:proofErr w:type="spellStart"/>
      <w:r w:rsidRPr="007B70A5">
        <w:rPr>
          <w:rFonts w:cs="Verdana-Bold"/>
          <w:sz w:val="24"/>
          <w:szCs w:val="24"/>
        </w:rPr>
        <w:t>périrénale</w:t>
      </w:r>
      <w:proofErr w:type="spellEnd"/>
      <w:r w:rsidRPr="007B70A5">
        <w:rPr>
          <w:rFonts w:cs="Verdana-Bold"/>
          <w:sz w:val="24"/>
          <w:szCs w:val="24"/>
        </w:rPr>
        <w:t xml:space="preserve">, de la surrénale, du fascia de </w:t>
      </w:r>
      <w:proofErr w:type="spellStart"/>
      <w:r w:rsidRPr="007B70A5">
        <w:rPr>
          <w:rFonts w:cs="Verdana-Bold"/>
          <w:sz w:val="24"/>
          <w:szCs w:val="24"/>
        </w:rPr>
        <w:t>Gerota</w:t>
      </w:r>
      <w:proofErr w:type="spellEnd"/>
      <w:r w:rsidRPr="007B70A5">
        <w:rPr>
          <w:rFonts w:cs="Verdana-Bold"/>
          <w:sz w:val="24"/>
          <w:szCs w:val="24"/>
        </w:rPr>
        <w:t xml:space="preserve"> et des ganglions</w:t>
      </w:r>
      <w:r>
        <w:rPr>
          <w:rFonts w:cs="Verdana-Bold"/>
          <w:sz w:val="24"/>
          <w:szCs w:val="24"/>
        </w:rPr>
        <w:t xml:space="preserve"> </w:t>
      </w:r>
      <w:r w:rsidRPr="007B70A5">
        <w:rPr>
          <w:rFonts w:cs="Verdana-Bold"/>
          <w:sz w:val="24"/>
          <w:szCs w:val="24"/>
        </w:rPr>
        <w:t>lymphatiques régionaux dépendant des gros vaisseaux</w:t>
      </w:r>
    </w:p>
    <w:p w:rsidR="000B4B5F" w:rsidRPr="00E7727F" w:rsidRDefault="000B4B5F" w:rsidP="000B4B5F">
      <w:pPr>
        <w:autoSpaceDE w:val="0"/>
        <w:autoSpaceDN w:val="0"/>
        <w:adjustRightInd w:val="0"/>
        <w:spacing w:after="0" w:line="240" w:lineRule="auto"/>
        <w:rPr>
          <w:rFonts w:cs="StoneSerif-Semibold"/>
          <w:b/>
          <w:bCs/>
          <w:color w:val="004DA0"/>
          <w:sz w:val="24"/>
          <w:szCs w:val="24"/>
          <w:u w:val="single"/>
        </w:rPr>
      </w:pPr>
      <w:r w:rsidRPr="00E7727F">
        <w:rPr>
          <w:rFonts w:cs="StoneSerif-Semibold"/>
          <w:b/>
          <w:bCs/>
          <w:color w:val="004DA0"/>
          <w:sz w:val="24"/>
          <w:szCs w:val="24"/>
          <w:u w:val="single"/>
        </w:rPr>
        <w:t>Néphrectomie partielle</w:t>
      </w:r>
    </w:p>
    <w:p w:rsidR="000B4B5F" w:rsidRPr="007B70A5" w:rsidRDefault="000B4B5F" w:rsidP="007B70A5">
      <w:pPr>
        <w:pStyle w:val="Paragraphedeliste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7B70A5">
        <w:rPr>
          <w:rFonts w:cs="StoneSerif"/>
          <w:color w:val="1B1C20"/>
          <w:sz w:val="24"/>
          <w:szCs w:val="24"/>
        </w:rPr>
        <w:t>Les chirurgies partielles du rein reposent sur l’exérèse complète</w:t>
      </w:r>
      <w:r w:rsidR="00CA7CD8" w:rsidRPr="007B70A5">
        <w:rPr>
          <w:rFonts w:cs="StoneSerif"/>
          <w:color w:val="1B1C20"/>
          <w:sz w:val="24"/>
          <w:szCs w:val="24"/>
        </w:rPr>
        <w:t xml:space="preserve"> </w:t>
      </w:r>
      <w:r w:rsidRPr="007B70A5">
        <w:rPr>
          <w:rFonts w:cs="StoneSerif"/>
          <w:color w:val="1B1C20"/>
          <w:sz w:val="24"/>
          <w:szCs w:val="24"/>
        </w:rPr>
        <w:t>de la lésion avec une marge de sécurité de quelques</w:t>
      </w:r>
      <w:r w:rsidR="00CA7CD8" w:rsidRPr="007B70A5">
        <w:rPr>
          <w:rFonts w:cs="StoneSerif"/>
          <w:color w:val="1B1C20"/>
          <w:sz w:val="24"/>
          <w:szCs w:val="24"/>
        </w:rPr>
        <w:t xml:space="preserve"> </w:t>
      </w:r>
      <w:r w:rsidRPr="007B70A5">
        <w:rPr>
          <w:rFonts w:cs="StoneSerif"/>
          <w:color w:val="1B1C20"/>
          <w:sz w:val="24"/>
          <w:szCs w:val="24"/>
        </w:rPr>
        <w:t xml:space="preserve">millimètres de parenchyme sain et de graisse </w:t>
      </w:r>
      <w:proofErr w:type="spellStart"/>
      <w:r w:rsidRPr="007B70A5">
        <w:rPr>
          <w:rFonts w:cs="StoneSerif"/>
          <w:color w:val="1B1C20"/>
          <w:sz w:val="24"/>
          <w:szCs w:val="24"/>
        </w:rPr>
        <w:t>périrénale</w:t>
      </w:r>
      <w:proofErr w:type="spellEnd"/>
      <w:r w:rsidRPr="007B70A5">
        <w:rPr>
          <w:rFonts w:cs="StoneSerif"/>
          <w:color w:val="1B1C20"/>
          <w:sz w:val="24"/>
          <w:szCs w:val="24"/>
        </w:rPr>
        <w:t xml:space="preserve"> adjacente.</w:t>
      </w:r>
    </w:p>
    <w:p w:rsidR="000B4B5F" w:rsidRPr="007B70A5" w:rsidRDefault="000B4B5F" w:rsidP="007B70A5">
      <w:pPr>
        <w:pStyle w:val="Paragraphedeliste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7B70A5">
        <w:rPr>
          <w:rFonts w:cs="StoneSerif"/>
          <w:color w:val="1B1C20"/>
          <w:sz w:val="24"/>
          <w:szCs w:val="24"/>
        </w:rPr>
        <w:t>L’examen extemporané des marges est utile en cas de</w:t>
      </w:r>
      <w:r w:rsidR="00CA7CD8" w:rsidRPr="007B70A5">
        <w:rPr>
          <w:rFonts w:cs="StoneSerif"/>
          <w:color w:val="1B1C20"/>
          <w:sz w:val="24"/>
          <w:szCs w:val="24"/>
        </w:rPr>
        <w:t xml:space="preserve"> </w:t>
      </w:r>
      <w:r w:rsidRPr="007B70A5">
        <w:rPr>
          <w:rFonts w:cs="StoneSerif"/>
          <w:color w:val="1B1C20"/>
          <w:sz w:val="24"/>
          <w:szCs w:val="24"/>
        </w:rPr>
        <w:t>doute macroscopique.</w:t>
      </w:r>
    </w:p>
    <w:p w:rsidR="000B4B5F" w:rsidRPr="000B4B5F" w:rsidRDefault="000B4B5F" w:rsidP="000B4B5F">
      <w:pPr>
        <w:autoSpaceDE w:val="0"/>
        <w:autoSpaceDN w:val="0"/>
        <w:adjustRightInd w:val="0"/>
        <w:spacing w:after="0" w:line="240" w:lineRule="auto"/>
        <w:rPr>
          <w:rFonts w:cs="StoneSerif-Semibold"/>
          <w:color w:val="1B1C20"/>
          <w:sz w:val="24"/>
          <w:szCs w:val="24"/>
        </w:rPr>
      </w:pPr>
      <w:r w:rsidRPr="000B4B5F">
        <w:rPr>
          <w:rFonts w:cs="StoneSerif-Semibold"/>
          <w:color w:val="1B1C20"/>
          <w:sz w:val="24"/>
          <w:szCs w:val="24"/>
        </w:rPr>
        <w:t>Indications</w:t>
      </w:r>
    </w:p>
    <w:p w:rsidR="000B4B5F" w:rsidRPr="000B4B5F" w:rsidRDefault="000B4B5F" w:rsidP="001E01D0">
      <w:p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0B4B5F">
        <w:rPr>
          <w:rFonts w:cs="StoneSerif-Italic"/>
          <w:i/>
          <w:iCs/>
          <w:color w:val="1B1C20"/>
          <w:sz w:val="24"/>
          <w:szCs w:val="24"/>
        </w:rPr>
        <w:lastRenderedPageBreak/>
        <w:t>Chirurgie conservatrice de nécessité</w:t>
      </w:r>
      <w:r w:rsidRPr="000B4B5F">
        <w:rPr>
          <w:rFonts w:cs="StoneSerif"/>
          <w:color w:val="1B1C20"/>
          <w:sz w:val="24"/>
          <w:szCs w:val="24"/>
        </w:rPr>
        <w:t xml:space="preserve">. </w:t>
      </w:r>
    </w:p>
    <w:p w:rsidR="001E01D0" w:rsidRPr="00CA3FF7" w:rsidRDefault="00CA3FF7" w:rsidP="00CA3FF7">
      <w:pPr>
        <w:pStyle w:val="Paragraphedeliste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CA3FF7">
        <w:rPr>
          <w:rFonts w:cs="StoneSerif"/>
          <w:color w:val="1B1C20"/>
          <w:sz w:val="24"/>
          <w:szCs w:val="24"/>
        </w:rPr>
        <w:t>L</w:t>
      </w:r>
      <w:r w:rsidR="000B4B5F" w:rsidRPr="00CA3FF7">
        <w:rPr>
          <w:rFonts w:cs="StoneSerif"/>
          <w:color w:val="1B1C20"/>
          <w:sz w:val="24"/>
          <w:szCs w:val="24"/>
        </w:rPr>
        <w:t xml:space="preserve">es patients présentant un cancer sur rein unique, </w:t>
      </w:r>
    </w:p>
    <w:p w:rsidR="000B4B5F" w:rsidRPr="00CA3FF7" w:rsidRDefault="00CA3FF7" w:rsidP="00CA3FF7">
      <w:pPr>
        <w:pStyle w:val="Paragraphedeliste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CA3FF7">
        <w:rPr>
          <w:rFonts w:cs="StoneSerif"/>
          <w:color w:val="1B1C20"/>
          <w:sz w:val="24"/>
          <w:szCs w:val="24"/>
        </w:rPr>
        <w:t>U</w:t>
      </w:r>
      <w:r w:rsidR="000B4B5F" w:rsidRPr="00CA3FF7">
        <w:rPr>
          <w:rFonts w:cs="StoneSerif"/>
          <w:color w:val="1B1C20"/>
          <w:sz w:val="24"/>
          <w:szCs w:val="24"/>
        </w:rPr>
        <w:t>ne tumeur</w:t>
      </w:r>
      <w:r w:rsidR="001E01D0" w:rsidRPr="00CA3FF7">
        <w:rPr>
          <w:rFonts w:cs="StoneSerif"/>
          <w:color w:val="1B1C20"/>
          <w:sz w:val="24"/>
          <w:szCs w:val="24"/>
        </w:rPr>
        <w:t xml:space="preserve"> </w:t>
      </w:r>
      <w:r w:rsidR="000B4B5F" w:rsidRPr="00CA3FF7">
        <w:rPr>
          <w:rFonts w:cs="StoneSerif"/>
          <w:color w:val="1B1C20"/>
          <w:sz w:val="24"/>
          <w:szCs w:val="24"/>
        </w:rPr>
        <w:t>bilatérale, ou un rein controlatéral non ou peu fonctionnel.</w:t>
      </w:r>
    </w:p>
    <w:p w:rsidR="000B4B5F" w:rsidRPr="00CA3FF7" w:rsidRDefault="000B4B5F" w:rsidP="00CA3FF7">
      <w:pPr>
        <w:pStyle w:val="Paragraphedeliste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CA3FF7">
        <w:rPr>
          <w:rFonts w:cs="StoneSerif"/>
          <w:color w:val="1B1C20"/>
          <w:sz w:val="24"/>
          <w:szCs w:val="24"/>
        </w:rPr>
        <w:t>Les maladie</w:t>
      </w:r>
      <w:r w:rsidR="00CA3FF7">
        <w:rPr>
          <w:rFonts w:cs="StoneSerif"/>
          <w:color w:val="1B1C20"/>
          <w:sz w:val="24"/>
          <w:szCs w:val="24"/>
        </w:rPr>
        <w:t>s héréditaires à risque de CCR</w:t>
      </w:r>
    </w:p>
    <w:p w:rsidR="001E01D0" w:rsidRDefault="00CA3FF7" w:rsidP="001E01D0">
      <w:p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>
        <w:rPr>
          <w:rFonts w:cs="StoneSerif-Italic"/>
          <w:i/>
          <w:iCs/>
          <w:color w:val="1B1C20"/>
          <w:sz w:val="24"/>
          <w:szCs w:val="24"/>
        </w:rPr>
        <w:t>C</w:t>
      </w:r>
      <w:r w:rsidR="000B4B5F" w:rsidRPr="000B4B5F">
        <w:rPr>
          <w:rFonts w:cs="StoneSerif-Italic"/>
          <w:i/>
          <w:iCs/>
          <w:color w:val="1B1C20"/>
          <w:sz w:val="24"/>
          <w:szCs w:val="24"/>
        </w:rPr>
        <w:t>hirurgie conservatrice de principe</w:t>
      </w:r>
      <w:r w:rsidR="000B4B5F" w:rsidRPr="000B4B5F">
        <w:rPr>
          <w:rFonts w:cs="StoneSerif"/>
          <w:color w:val="1B1C20"/>
          <w:sz w:val="24"/>
          <w:szCs w:val="24"/>
        </w:rPr>
        <w:t xml:space="preserve">. </w:t>
      </w:r>
    </w:p>
    <w:p w:rsidR="000B4B5F" w:rsidRPr="00CA3FF7" w:rsidRDefault="000B4B5F" w:rsidP="00CA3FF7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CA3FF7">
        <w:rPr>
          <w:rFonts w:cs="StoneSerif"/>
          <w:color w:val="1B1C20"/>
          <w:sz w:val="24"/>
          <w:szCs w:val="24"/>
        </w:rPr>
        <w:t>Les petites tumeurs sporadiques</w:t>
      </w:r>
      <w:r w:rsidR="001E01D0" w:rsidRPr="00CA3FF7">
        <w:rPr>
          <w:rFonts w:cs="StoneSerif"/>
          <w:color w:val="1B1C20"/>
          <w:sz w:val="24"/>
          <w:szCs w:val="24"/>
        </w:rPr>
        <w:t xml:space="preserve"> </w:t>
      </w:r>
      <w:r w:rsidRPr="00CA3FF7">
        <w:rPr>
          <w:rFonts w:cs="StoneSerif"/>
          <w:color w:val="1B1C20"/>
          <w:sz w:val="24"/>
          <w:szCs w:val="24"/>
        </w:rPr>
        <w:t xml:space="preserve">(moins de 4 cm) </w:t>
      </w:r>
      <w:proofErr w:type="spellStart"/>
      <w:r w:rsidR="00E7727F">
        <w:rPr>
          <w:rFonts w:cs="StoneSerif"/>
          <w:color w:val="1B1C20"/>
          <w:sz w:val="24"/>
          <w:szCs w:val="24"/>
        </w:rPr>
        <w:t>exophytiques</w:t>
      </w:r>
      <w:proofErr w:type="spellEnd"/>
      <w:r w:rsidR="00E7727F">
        <w:rPr>
          <w:rFonts w:cs="StoneSerif"/>
          <w:color w:val="1B1C20"/>
          <w:sz w:val="24"/>
          <w:szCs w:val="24"/>
        </w:rPr>
        <w:t xml:space="preserve"> </w:t>
      </w:r>
    </w:p>
    <w:p w:rsidR="000B4B5F" w:rsidRPr="00CA3FF7" w:rsidRDefault="000B4B5F" w:rsidP="00CA3FF7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CA3FF7">
        <w:rPr>
          <w:rFonts w:cs="StoneSerif"/>
          <w:color w:val="1B1C20"/>
          <w:sz w:val="24"/>
          <w:szCs w:val="24"/>
        </w:rPr>
        <w:t>Pour certaines équipes entraînées, les tumeurs inférieures à</w:t>
      </w:r>
      <w:r w:rsidR="001E01D0" w:rsidRPr="00CA3FF7">
        <w:rPr>
          <w:rFonts w:cs="StoneSerif"/>
          <w:color w:val="1B1C20"/>
          <w:sz w:val="24"/>
          <w:szCs w:val="24"/>
        </w:rPr>
        <w:t xml:space="preserve"> </w:t>
      </w:r>
      <w:r w:rsidRPr="00CA3FF7">
        <w:rPr>
          <w:rFonts w:cs="StoneSerif"/>
          <w:color w:val="1B1C20"/>
          <w:sz w:val="24"/>
          <w:szCs w:val="24"/>
        </w:rPr>
        <w:t>7 cm (T1b) peuvent aussi bénéficier d’une chirurgie partielle.</w:t>
      </w:r>
    </w:p>
    <w:p w:rsidR="00783379" w:rsidRPr="00E7727F" w:rsidRDefault="00783379" w:rsidP="006122AA">
      <w:pPr>
        <w:autoSpaceDE w:val="0"/>
        <w:autoSpaceDN w:val="0"/>
        <w:adjustRightInd w:val="0"/>
        <w:spacing w:after="0" w:line="240" w:lineRule="auto"/>
        <w:rPr>
          <w:rFonts w:cs="StoneSans-Bold"/>
          <w:color w:val="004DA0"/>
          <w:sz w:val="24"/>
          <w:szCs w:val="24"/>
          <w:u w:val="single"/>
        </w:rPr>
      </w:pPr>
      <w:r w:rsidRPr="00E7727F">
        <w:rPr>
          <w:rFonts w:cs="StoneSans-Bold"/>
          <w:color w:val="004DA0"/>
          <w:sz w:val="24"/>
          <w:szCs w:val="24"/>
          <w:u w:val="single"/>
        </w:rPr>
        <w:t>Méthodes destructives</w:t>
      </w:r>
    </w:p>
    <w:p w:rsidR="00783379" w:rsidRPr="00783379" w:rsidRDefault="00E7727F" w:rsidP="00783379">
      <w:pPr>
        <w:autoSpaceDE w:val="0"/>
        <w:autoSpaceDN w:val="0"/>
        <w:adjustRightInd w:val="0"/>
        <w:spacing w:after="0" w:line="240" w:lineRule="auto"/>
        <w:rPr>
          <w:rFonts w:cs="StoneSerif-Semibold"/>
          <w:color w:val="004DA0"/>
          <w:sz w:val="24"/>
          <w:szCs w:val="24"/>
        </w:rPr>
      </w:pPr>
      <w:r>
        <w:rPr>
          <w:rFonts w:cs="StoneSerif-Semibold"/>
          <w:color w:val="004DA0"/>
          <w:sz w:val="24"/>
          <w:szCs w:val="24"/>
        </w:rPr>
        <w:t xml:space="preserve">            </w:t>
      </w:r>
      <w:r w:rsidR="00783379" w:rsidRPr="00783379">
        <w:rPr>
          <w:rFonts w:cs="StoneSerif-Semibold"/>
          <w:color w:val="004DA0"/>
          <w:sz w:val="24"/>
          <w:szCs w:val="24"/>
        </w:rPr>
        <w:t>Radiofréquence</w:t>
      </w:r>
    </w:p>
    <w:p w:rsidR="00F1326F" w:rsidRPr="00E7727F" w:rsidRDefault="00E7727F" w:rsidP="00E7727F">
      <w:pPr>
        <w:autoSpaceDE w:val="0"/>
        <w:autoSpaceDN w:val="0"/>
        <w:adjustRightInd w:val="0"/>
        <w:spacing w:after="0" w:line="240" w:lineRule="auto"/>
        <w:rPr>
          <w:rFonts w:cs="StoneSerif-Semibold"/>
          <w:color w:val="004DA0"/>
          <w:sz w:val="24"/>
          <w:szCs w:val="24"/>
        </w:rPr>
      </w:pPr>
      <w:r>
        <w:rPr>
          <w:rFonts w:cs="StoneSerif-Semibold"/>
          <w:color w:val="004DA0"/>
          <w:sz w:val="24"/>
          <w:szCs w:val="24"/>
        </w:rPr>
        <w:t xml:space="preserve">            </w:t>
      </w:r>
      <w:r w:rsidR="00783379" w:rsidRPr="00783379">
        <w:rPr>
          <w:rFonts w:cs="StoneSerif-Semibold"/>
          <w:color w:val="004DA0"/>
          <w:sz w:val="24"/>
          <w:szCs w:val="24"/>
        </w:rPr>
        <w:t>Cryothérapie</w:t>
      </w:r>
    </w:p>
    <w:p w:rsidR="00F1326F" w:rsidRDefault="00F1326F" w:rsidP="00F1326F">
      <w:pPr>
        <w:rPr>
          <w:rFonts w:cs="StoneSerif"/>
          <w:sz w:val="24"/>
          <w:szCs w:val="24"/>
        </w:rPr>
      </w:pPr>
    </w:p>
    <w:p w:rsidR="00BA6260" w:rsidRPr="00E7727F" w:rsidRDefault="00E7727F" w:rsidP="00BA6260">
      <w:pPr>
        <w:autoSpaceDE w:val="0"/>
        <w:autoSpaceDN w:val="0"/>
        <w:adjustRightInd w:val="0"/>
        <w:spacing w:after="0" w:line="240" w:lineRule="auto"/>
        <w:rPr>
          <w:rFonts w:cs="TT2E74o00"/>
          <w:b/>
          <w:bCs/>
          <w:color w:val="37549D"/>
          <w:sz w:val="40"/>
          <w:szCs w:val="40"/>
        </w:rPr>
      </w:pPr>
      <w:r>
        <w:rPr>
          <w:rFonts w:cs="TT2E74o00"/>
          <w:b/>
          <w:bCs/>
          <w:color w:val="37549D"/>
          <w:sz w:val="40"/>
          <w:szCs w:val="40"/>
        </w:rPr>
        <w:t>2/-</w:t>
      </w:r>
      <w:r w:rsidR="00BA6260" w:rsidRPr="00E7727F">
        <w:rPr>
          <w:rFonts w:cs="TT2E74o00"/>
          <w:b/>
          <w:bCs/>
          <w:color w:val="37549D"/>
          <w:sz w:val="40"/>
          <w:szCs w:val="40"/>
        </w:rPr>
        <w:t>Prise en charge du cancer du rein métastatique</w:t>
      </w:r>
    </w:p>
    <w:p w:rsidR="00BA6260" w:rsidRPr="00BA6260" w:rsidRDefault="00BA6260" w:rsidP="00BA6260">
      <w:pPr>
        <w:autoSpaceDE w:val="0"/>
        <w:autoSpaceDN w:val="0"/>
        <w:adjustRightInd w:val="0"/>
        <w:spacing w:after="0" w:line="240" w:lineRule="auto"/>
        <w:rPr>
          <w:rFonts w:cs="TT2E8Do00"/>
          <w:color w:val="6C78B3"/>
          <w:sz w:val="24"/>
          <w:szCs w:val="24"/>
        </w:rPr>
      </w:pPr>
      <w:r w:rsidRPr="00BA6260">
        <w:rPr>
          <w:rFonts w:cs="TT2E8Do00"/>
          <w:color w:val="6C78B3"/>
          <w:sz w:val="24"/>
          <w:szCs w:val="24"/>
        </w:rPr>
        <w:t>Place de la chirurgie des métastases</w:t>
      </w:r>
      <w:r w:rsidR="003541B0">
        <w:rPr>
          <w:rFonts w:cs="TT2E8Do00"/>
          <w:color w:val="6C78B3"/>
          <w:sz w:val="24"/>
          <w:szCs w:val="24"/>
        </w:rPr>
        <w:t> :</w:t>
      </w:r>
    </w:p>
    <w:p w:rsidR="00BA6260" w:rsidRPr="00BA6260" w:rsidRDefault="00BA6260" w:rsidP="00BA6260">
      <w:pPr>
        <w:pStyle w:val="Paragraphedeliste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cs="TT2E63o00"/>
          <w:color w:val="000000"/>
          <w:sz w:val="24"/>
          <w:szCs w:val="24"/>
        </w:rPr>
      </w:pPr>
      <w:r w:rsidRPr="00BA6260">
        <w:rPr>
          <w:rFonts w:cs="TT2E63o00"/>
          <w:color w:val="000000"/>
          <w:sz w:val="24"/>
          <w:szCs w:val="24"/>
        </w:rPr>
        <w:t>La survie globale chez les patients ayant bénéficié d’une résection d’une métastase unique varie de 35 à 60 % à 5 ans</w:t>
      </w:r>
    </w:p>
    <w:p w:rsidR="00BA6260" w:rsidRPr="00BA6260" w:rsidRDefault="00BA6260" w:rsidP="00BA6260">
      <w:pPr>
        <w:pStyle w:val="Paragraphedeliste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cs="TT2E63o00"/>
          <w:color w:val="000000"/>
          <w:sz w:val="24"/>
          <w:szCs w:val="24"/>
        </w:rPr>
      </w:pPr>
      <w:r w:rsidRPr="00BA6260">
        <w:rPr>
          <w:rFonts w:cs="TT2E63o00"/>
          <w:color w:val="000000"/>
          <w:sz w:val="24"/>
          <w:szCs w:val="24"/>
        </w:rPr>
        <w:t>Le groupe favorable de patients pouvant bénéficier de cette chirurgie est défini par : un intervalle libre supérieur à 12 mois entre la néphrectomie et l’évolution métastatique, un site métastatique unique et un âge inférieur à</w:t>
      </w:r>
      <w:r>
        <w:rPr>
          <w:rFonts w:cs="TT2E63o00"/>
          <w:color w:val="000000"/>
          <w:sz w:val="24"/>
          <w:szCs w:val="24"/>
        </w:rPr>
        <w:t xml:space="preserve"> </w:t>
      </w:r>
      <w:r w:rsidRPr="00BA6260">
        <w:rPr>
          <w:rFonts w:cs="TT2E63o00"/>
          <w:color w:val="000000"/>
          <w:sz w:val="24"/>
          <w:szCs w:val="24"/>
        </w:rPr>
        <w:t xml:space="preserve">60 ans </w:t>
      </w:r>
    </w:p>
    <w:p w:rsidR="003541B0" w:rsidRPr="003541B0" w:rsidRDefault="003541B0" w:rsidP="003541B0">
      <w:pPr>
        <w:autoSpaceDE w:val="0"/>
        <w:autoSpaceDN w:val="0"/>
        <w:adjustRightInd w:val="0"/>
        <w:spacing w:after="0" w:line="240" w:lineRule="auto"/>
        <w:rPr>
          <w:rFonts w:cs="StoneSans-Bold"/>
          <w:color w:val="004DA0"/>
          <w:sz w:val="24"/>
          <w:szCs w:val="24"/>
        </w:rPr>
      </w:pPr>
      <w:r w:rsidRPr="003541B0">
        <w:rPr>
          <w:rFonts w:cs="StoneSans-Bold"/>
          <w:color w:val="004DA0"/>
          <w:sz w:val="24"/>
          <w:szCs w:val="24"/>
        </w:rPr>
        <w:t>Radiothérapie</w:t>
      </w:r>
    </w:p>
    <w:p w:rsidR="003541B0" w:rsidRDefault="003541B0" w:rsidP="003541B0">
      <w:pPr>
        <w:pStyle w:val="Paragraphedeliste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3541B0">
        <w:rPr>
          <w:rFonts w:cs="StoneSerif"/>
          <w:color w:val="1B1C20"/>
          <w:sz w:val="24"/>
          <w:szCs w:val="24"/>
        </w:rPr>
        <w:t xml:space="preserve">Le CCR est hautement </w:t>
      </w:r>
      <w:proofErr w:type="spellStart"/>
      <w:r w:rsidRPr="003541B0">
        <w:rPr>
          <w:rFonts w:cs="StoneSerif"/>
          <w:color w:val="1B1C20"/>
          <w:sz w:val="24"/>
          <w:szCs w:val="24"/>
        </w:rPr>
        <w:t>radiorésistant</w:t>
      </w:r>
      <w:proofErr w:type="spellEnd"/>
      <w:r w:rsidRPr="003541B0">
        <w:rPr>
          <w:rFonts w:cs="StoneSerif"/>
          <w:color w:val="1B1C20"/>
          <w:sz w:val="24"/>
          <w:szCs w:val="24"/>
        </w:rPr>
        <w:t xml:space="preserve">, mais le traitement des métastases cérébrales et osseuses à visée palliative peut faire appel à la radiothérapie </w:t>
      </w:r>
      <w:proofErr w:type="spellStart"/>
      <w:r w:rsidRPr="003541B0">
        <w:rPr>
          <w:rFonts w:cs="StoneSerif"/>
          <w:color w:val="1B1C20"/>
          <w:sz w:val="24"/>
          <w:szCs w:val="24"/>
        </w:rPr>
        <w:t>conformationnelle</w:t>
      </w:r>
      <w:proofErr w:type="spellEnd"/>
      <w:r w:rsidRPr="003541B0">
        <w:rPr>
          <w:rFonts w:cs="StoneSerif"/>
          <w:color w:val="1B1C20"/>
          <w:sz w:val="24"/>
          <w:szCs w:val="24"/>
        </w:rPr>
        <w:t xml:space="preserve"> afin de diminuer les symptômes</w:t>
      </w:r>
    </w:p>
    <w:p w:rsidR="003541B0" w:rsidRDefault="00C53647" w:rsidP="00C53647">
      <w:pPr>
        <w:autoSpaceDE w:val="0"/>
        <w:autoSpaceDN w:val="0"/>
        <w:adjustRightInd w:val="0"/>
        <w:spacing w:after="0" w:line="240" w:lineRule="auto"/>
        <w:rPr>
          <w:rFonts w:ascii="TT2E8Do00" w:hAnsi="TT2E8Do00" w:cs="TT2E8Do00"/>
          <w:color w:val="6C78B3"/>
        </w:rPr>
      </w:pPr>
      <w:r>
        <w:rPr>
          <w:rFonts w:ascii="TT2E8Do00" w:hAnsi="TT2E8Do00" w:cs="TT2E8Do00"/>
          <w:color w:val="6C78B3"/>
        </w:rPr>
        <w:t>Traitement médical</w:t>
      </w:r>
    </w:p>
    <w:p w:rsidR="00C53647" w:rsidRPr="00C53647" w:rsidRDefault="008B5B77" w:rsidP="00C53647">
      <w:pPr>
        <w:autoSpaceDE w:val="0"/>
        <w:autoSpaceDN w:val="0"/>
        <w:adjustRightInd w:val="0"/>
        <w:spacing w:after="0" w:line="240" w:lineRule="auto"/>
        <w:rPr>
          <w:rFonts w:cs="GentiumBookBasic-Bold"/>
          <w:b/>
          <w:bCs/>
          <w:color w:val="000000"/>
          <w:sz w:val="24"/>
          <w:szCs w:val="24"/>
        </w:rPr>
      </w:pPr>
      <w:r>
        <w:rPr>
          <w:rFonts w:cs="GentiumBookBasic-Bold"/>
          <w:b/>
          <w:bCs/>
          <w:color w:val="000000"/>
          <w:sz w:val="24"/>
          <w:szCs w:val="24"/>
        </w:rPr>
        <w:t>Actuellement c’est</w:t>
      </w:r>
      <w:r w:rsidR="00C53647" w:rsidRPr="00C53647">
        <w:rPr>
          <w:rFonts w:cs="GentiumBookBasic-Bold"/>
          <w:b/>
          <w:bCs/>
          <w:color w:val="000000"/>
          <w:sz w:val="24"/>
          <w:szCs w:val="24"/>
        </w:rPr>
        <w:t xml:space="preserve"> l’ère des</w:t>
      </w:r>
      <w:r w:rsidR="00C53647">
        <w:rPr>
          <w:rFonts w:cs="GentiumBookBasic-Bold"/>
          <w:b/>
          <w:bCs/>
          <w:color w:val="000000"/>
          <w:sz w:val="24"/>
          <w:szCs w:val="24"/>
        </w:rPr>
        <w:t xml:space="preserve"> </w:t>
      </w:r>
      <w:r>
        <w:rPr>
          <w:rFonts w:cs="GentiumBookBasic-Bold"/>
          <w:b/>
          <w:bCs/>
          <w:color w:val="000000"/>
          <w:sz w:val="24"/>
          <w:szCs w:val="24"/>
        </w:rPr>
        <w:t>thérapies</w:t>
      </w:r>
      <w:r w:rsidR="00C53647" w:rsidRPr="00C53647">
        <w:rPr>
          <w:rFonts w:cs="GentiumBookBasic-Bold"/>
          <w:b/>
          <w:bCs/>
          <w:color w:val="000000"/>
          <w:sz w:val="24"/>
          <w:szCs w:val="24"/>
        </w:rPr>
        <w:t xml:space="preserve"> ciblées</w:t>
      </w:r>
    </w:p>
    <w:p w:rsidR="008B5B77" w:rsidRPr="00E933C7" w:rsidRDefault="008B5B77" w:rsidP="008B5B77">
      <w:pPr>
        <w:pStyle w:val="Paragraphedeliste"/>
        <w:autoSpaceDE w:val="0"/>
        <w:autoSpaceDN w:val="0"/>
        <w:adjustRightInd w:val="0"/>
        <w:spacing w:after="0" w:line="240" w:lineRule="auto"/>
        <w:rPr>
          <w:rFonts w:cs="GentiumBookBasic"/>
          <w:sz w:val="24"/>
          <w:szCs w:val="24"/>
        </w:rPr>
      </w:pPr>
    </w:p>
    <w:p w:rsidR="006E694C" w:rsidRDefault="006E694C" w:rsidP="006E694C">
      <w:pPr>
        <w:autoSpaceDE w:val="0"/>
        <w:autoSpaceDN w:val="0"/>
        <w:adjustRightInd w:val="0"/>
        <w:spacing w:after="0" w:line="240" w:lineRule="auto"/>
        <w:rPr>
          <w:rFonts w:cs="GentiumBookBasic"/>
          <w:color w:val="000000"/>
          <w:sz w:val="24"/>
          <w:szCs w:val="24"/>
        </w:rPr>
      </w:pPr>
    </w:p>
    <w:p w:rsidR="006E694C" w:rsidRPr="006E694C" w:rsidRDefault="006E694C" w:rsidP="006E694C">
      <w:pPr>
        <w:autoSpaceDE w:val="0"/>
        <w:autoSpaceDN w:val="0"/>
        <w:adjustRightInd w:val="0"/>
        <w:spacing w:after="0" w:line="240" w:lineRule="auto"/>
        <w:rPr>
          <w:rFonts w:cs="GentiumBookBasic"/>
          <w:color w:val="000000"/>
          <w:sz w:val="24"/>
          <w:szCs w:val="24"/>
        </w:rPr>
      </w:pPr>
    </w:p>
    <w:p w:rsidR="00F30E4C" w:rsidRPr="00F30E4C" w:rsidRDefault="00F30E4C" w:rsidP="00F30E4C">
      <w:pPr>
        <w:autoSpaceDE w:val="0"/>
        <w:autoSpaceDN w:val="0"/>
        <w:adjustRightInd w:val="0"/>
        <w:spacing w:after="0" w:line="240" w:lineRule="auto"/>
        <w:rPr>
          <w:rFonts w:cs="StoneSans-Bold"/>
          <w:b/>
          <w:bCs/>
          <w:color w:val="004DA0"/>
          <w:sz w:val="24"/>
          <w:szCs w:val="24"/>
        </w:rPr>
      </w:pPr>
      <w:r w:rsidRPr="00F30E4C">
        <w:rPr>
          <w:rFonts w:cs="StoneSans-Bold"/>
          <w:b/>
          <w:bCs/>
          <w:color w:val="004DA0"/>
          <w:sz w:val="24"/>
          <w:szCs w:val="24"/>
        </w:rPr>
        <w:t>Conclusion</w:t>
      </w:r>
    </w:p>
    <w:p w:rsidR="00E933C7" w:rsidRPr="00F30E4C" w:rsidRDefault="00F30E4C" w:rsidP="00F30E4C">
      <w:pPr>
        <w:autoSpaceDE w:val="0"/>
        <w:autoSpaceDN w:val="0"/>
        <w:adjustRightInd w:val="0"/>
        <w:spacing w:after="0" w:line="240" w:lineRule="auto"/>
        <w:rPr>
          <w:rFonts w:cs="StoneSerif"/>
          <w:color w:val="1B1C20"/>
          <w:sz w:val="24"/>
          <w:szCs w:val="24"/>
        </w:rPr>
      </w:pPr>
      <w:r w:rsidRPr="00F30E4C">
        <w:rPr>
          <w:rFonts w:cs="StoneSerif"/>
          <w:color w:val="1B1C20"/>
          <w:sz w:val="24"/>
          <w:szCs w:val="24"/>
        </w:rPr>
        <w:t>L’évolution dans la prise en charge des cancers du rein a</w:t>
      </w:r>
      <w:r>
        <w:rPr>
          <w:rFonts w:cs="StoneSerif"/>
          <w:color w:val="1B1C20"/>
          <w:sz w:val="24"/>
          <w:szCs w:val="24"/>
        </w:rPr>
        <w:t xml:space="preserve"> </w:t>
      </w:r>
      <w:r w:rsidRPr="00F30E4C">
        <w:rPr>
          <w:rFonts w:cs="StoneSerif"/>
          <w:color w:val="1B1C20"/>
          <w:sz w:val="24"/>
          <w:szCs w:val="24"/>
        </w:rPr>
        <w:t>fortement changé et est devenue plus complexe en quelques</w:t>
      </w:r>
      <w:r>
        <w:rPr>
          <w:rFonts w:cs="StoneSerif"/>
          <w:color w:val="1B1C20"/>
          <w:sz w:val="24"/>
          <w:szCs w:val="24"/>
        </w:rPr>
        <w:t xml:space="preserve"> </w:t>
      </w:r>
      <w:r w:rsidRPr="00F30E4C">
        <w:rPr>
          <w:rFonts w:cs="StoneSerif"/>
          <w:color w:val="1B1C20"/>
          <w:sz w:val="24"/>
          <w:szCs w:val="24"/>
        </w:rPr>
        <w:t>années du fait de l’apparition de nouvelles techniques (développement</w:t>
      </w:r>
      <w:r>
        <w:rPr>
          <w:rFonts w:cs="StoneSerif"/>
          <w:color w:val="1B1C20"/>
          <w:sz w:val="24"/>
          <w:szCs w:val="24"/>
        </w:rPr>
        <w:t xml:space="preserve"> </w:t>
      </w:r>
      <w:r w:rsidRPr="00F30E4C">
        <w:rPr>
          <w:rFonts w:cs="StoneSerif"/>
          <w:color w:val="1B1C20"/>
          <w:sz w:val="24"/>
          <w:szCs w:val="24"/>
        </w:rPr>
        <w:t>de la néphrectomie partielle et traitements mini</w:t>
      </w:r>
      <w:r w:rsidR="008B5B77">
        <w:rPr>
          <w:rFonts w:cs="StoneSerif"/>
          <w:color w:val="1B1C20"/>
          <w:sz w:val="24"/>
          <w:szCs w:val="24"/>
        </w:rPr>
        <w:t>-</w:t>
      </w:r>
      <w:r w:rsidRPr="00F30E4C">
        <w:rPr>
          <w:rFonts w:cs="StoneSerif"/>
          <w:color w:val="1B1C20"/>
          <w:sz w:val="24"/>
          <w:szCs w:val="24"/>
        </w:rPr>
        <w:t>invasifs)</w:t>
      </w:r>
      <w:r>
        <w:rPr>
          <w:rFonts w:cs="StoneSerif"/>
          <w:color w:val="1B1C20"/>
          <w:sz w:val="24"/>
          <w:szCs w:val="24"/>
        </w:rPr>
        <w:t xml:space="preserve"> </w:t>
      </w:r>
      <w:r w:rsidRPr="00F30E4C">
        <w:rPr>
          <w:rFonts w:cs="StoneSerif"/>
          <w:color w:val="1B1C20"/>
          <w:sz w:val="24"/>
          <w:szCs w:val="24"/>
        </w:rPr>
        <w:t>et thérapeutiques (thérapies ciblées). Mais la place</w:t>
      </w:r>
      <w:r>
        <w:rPr>
          <w:rFonts w:cs="StoneSerif"/>
          <w:color w:val="1B1C20"/>
          <w:sz w:val="24"/>
          <w:szCs w:val="24"/>
        </w:rPr>
        <w:t xml:space="preserve"> </w:t>
      </w:r>
      <w:r w:rsidRPr="00F30E4C">
        <w:rPr>
          <w:rFonts w:cs="StoneSerif"/>
          <w:color w:val="1B1C20"/>
          <w:sz w:val="24"/>
          <w:szCs w:val="24"/>
        </w:rPr>
        <w:t>exacte de ces nouvelles thérapeutiques dans la prise en charge</w:t>
      </w:r>
      <w:r>
        <w:rPr>
          <w:rFonts w:cs="StoneSerif"/>
          <w:color w:val="1B1C20"/>
          <w:sz w:val="24"/>
          <w:szCs w:val="24"/>
        </w:rPr>
        <w:t xml:space="preserve"> </w:t>
      </w:r>
      <w:r w:rsidRPr="00F30E4C">
        <w:rPr>
          <w:rFonts w:cs="StoneSerif"/>
          <w:color w:val="1B1C20"/>
          <w:sz w:val="24"/>
          <w:szCs w:val="24"/>
        </w:rPr>
        <w:t>des cancers du rein reste à définir. Les nombreux essais en cours</w:t>
      </w:r>
      <w:r>
        <w:rPr>
          <w:rFonts w:cs="StoneSerif"/>
          <w:color w:val="1B1C20"/>
          <w:sz w:val="24"/>
          <w:szCs w:val="24"/>
        </w:rPr>
        <w:t xml:space="preserve"> </w:t>
      </w:r>
      <w:r w:rsidRPr="00F30E4C">
        <w:rPr>
          <w:rFonts w:cs="StoneSerif"/>
          <w:color w:val="1B1C20"/>
          <w:sz w:val="24"/>
          <w:szCs w:val="24"/>
        </w:rPr>
        <w:t xml:space="preserve">notamment en ce qui concerne les traitements par </w:t>
      </w:r>
      <w:proofErr w:type="spellStart"/>
      <w:r w:rsidRPr="00F30E4C">
        <w:rPr>
          <w:rFonts w:cs="StoneSerif"/>
          <w:color w:val="1B1C20"/>
          <w:sz w:val="24"/>
          <w:szCs w:val="24"/>
        </w:rPr>
        <w:t>antiangiogéniques</w:t>
      </w:r>
      <w:proofErr w:type="spellEnd"/>
      <w:r>
        <w:rPr>
          <w:rFonts w:cs="StoneSerif"/>
          <w:color w:val="1B1C20"/>
          <w:sz w:val="24"/>
          <w:szCs w:val="24"/>
        </w:rPr>
        <w:t xml:space="preserve"> </w:t>
      </w:r>
      <w:r w:rsidRPr="00F30E4C">
        <w:rPr>
          <w:rFonts w:cs="StoneSerif"/>
          <w:color w:val="1B1C20"/>
          <w:sz w:val="24"/>
          <w:szCs w:val="24"/>
        </w:rPr>
        <w:t xml:space="preserve">en adjuvant et </w:t>
      </w:r>
      <w:proofErr w:type="spellStart"/>
      <w:r w:rsidRPr="00F30E4C">
        <w:rPr>
          <w:rFonts w:cs="StoneSerif"/>
          <w:color w:val="1B1C20"/>
          <w:sz w:val="24"/>
          <w:szCs w:val="24"/>
        </w:rPr>
        <w:t>néoadjuvant</w:t>
      </w:r>
      <w:proofErr w:type="spellEnd"/>
      <w:r w:rsidRPr="00F30E4C">
        <w:rPr>
          <w:rFonts w:cs="StoneSerif"/>
          <w:color w:val="1B1C20"/>
          <w:sz w:val="24"/>
          <w:szCs w:val="24"/>
        </w:rPr>
        <w:t xml:space="preserve"> permettront en partie de</w:t>
      </w:r>
      <w:r>
        <w:rPr>
          <w:rFonts w:cs="StoneSerif"/>
          <w:color w:val="1B1C20"/>
          <w:sz w:val="24"/>
          <w:szCs w:val="24"/>
        </w:rPr>
        <w:t xml:space="preserve"> </w:t>
      </w:r>
      <w:r w:rsidRPr="00F30E4C">
        <w:rPr>
          <w:rFonts w:cs="StoneSerif"/>
          <w:color w:val="1B1C20"/>
          <w:sz w:val="24"/>
          <w:szCs w:val="24"/>
        </w:rPr>
        <w:t>répondre à ces questions.</w:t>
      </w:r>
    </w:p>
    <w:sectPr w:rsidR="00E933C7" w:rsidRPr="00F30E4C" w:rsidSect="009712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4BC" w:rsidRDefault="001704BC" w:rsidP="006345FF">
      <w:pPr>
        <w:spacing w:after="0" w:line="240" w:lineRule="auto"/>
      </w:pPr>
      <w:r>
        <w:separator/>
      </w:r>
    </w:p>
  </w:endnote>
  <w:endnote w:type="continuationSeparator" w:id="1">
    <w:p w:rsidR="001704BC" w:rsidRDefault="001704BC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ne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ntiumBookBasic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ntiumBookBasic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erif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2E59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2E63o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2E64o00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2E8E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ntiumBookBas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2E74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2E8Do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46209"/>
      <w:docPartObj>
        <w:docPartGallery w:val="Page Numbers (Bottom of Page)"/>
        <w:docPartUnique/>
      </w:docPartObj>
    </w:sdtPr>
    <w:sdtContent>
      <w:p w:rsidR="00FD3084" w:rsidRDefault="00084D8D">
        <w:pPr>
          <w:pStyle w:val="Pieddepage"/>
          <w:jc w:val="right"/>
        </w:pPr>
        <w:fldSimple w:instr=" PAGE   \* MERGEFORMAT ">
          <w:r w:rsidR="00DD7330">
            <w:rPr>
              <w:noProof/>
            </w:rPr>
            <w:t>1</w:t>
          </w:r>
        </w:fldSimple>
      </w:p>
    </w:sdtContent>
  </w:sdt>
  <w:p w:rsidR="00FD3084" w:rsidRDefault="00FD308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4BC" w:rsidRDefault="001704BC" w:rsidP="006345FF">
      <w:pPr>
        <w:spacing w:after="0" w:line="240" w:lineRule="auto"/>
      </w:pPr>
      <w:r>
        <w:separator/>
      </w:r>
    </w:p>
  </w:footnote>
  <w:footnote w:type="continuationSeparator" w:id="1">
    <w:p w:rsidR="001704BC" w:rsidRDefault="001704BC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010B"/>
    <w:multiLevelType w:val="hybridMultilevel"/>
    <w:tmpl w:val="0CA2FA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E65BE"/>
    <w:multiLevelType w:val="hybridMultilevel"/>
    <w:tmpl w:val="8A3828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5265C"/>
    <w:multiLevelType w:val="hybridMultilevel"/>
    <w:tmpl w:val="BEE04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20FAB"/>
    <w:multiLevelType w:val="hybridMultilevel"/>
    <w:tmpl w:val="E654BC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563BF"/>
    <w:multiLevelType w:val="hybridMultilevel"/>
    <w:tmpl w:val="9DAEA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07341"/>
    <w:multiLevelType w:val="hybridMultilevel"/>
    <w:tmpl w:val="02F4C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D5338"/>
    <w:multiLevelType w:val="hybridMultilevel"/>
    <w:tmpl w:val="A2A29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D5278"/>
    <w:multiLevelType w:val="hybridMultilevel"/>
    <w:tmpl w:val="27789916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0DB62930"/>
    <w:multiLevelType w:val="hybridMultilevel"/>
    <w:tmpl w:val="8A66D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2B0724"/>
    <w:multiLevelType w:val="hybridMultilevel"/>
    <w:tmpl w:val="2CD69A4A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04F491C"/>
    <w:multiLevelType w:val="hybridMultilevel"/>
    <w:tmpl w:val="0FFA2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5B5D5D"/>
    <w:multiLevelType w:val="hybridMultilevel"/>
    <w:tmpl w:val="8FAAC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1C7A85"/>
    <w:multiLevelType w:val="hybridMultilevel"/>
    <w:tmpl w:val="061CC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9949C9"/>
    <w:multiLevelType w:val="hybridMultilevel"/>
    <w:tmpl w:val="7130B04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8B184D"/>
    <w:multiLevelType w:val="hybridMultilevel"/>
    <w:tmpl w:val="D92E40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9FE5C0A"/>
    <w:multiLevelType w:val="hybridMultilevel"/>
    <w:tmpl w:val="61CE8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4C1EA2"/>
    <w:multiLevelType w:val="hybridMultilevel"/>
    <w:tmpl w:val="ADC27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6C5FB0"/>
    <w:multiLevelType w:val="hybridMultilevel"/>
    <w:tmpl w:val="B25AA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735FA3"/>
    <w:multiLevelType w:val="hybridMultilevel"/>
    <w:tmpl w:val="769826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811D85"/>
    <w:multiLevelType w:val="hybridMultilevel"/>
    <w:tmpl w:val="432684DC"/>
    <w:lvl w:ilvl="0" w:tplc="88EE82A0">
      <w:numFmt w:val="bullet"/>
      <w:lvlText w:val="•"/>
      <w:lvlJc w:val="left"/>
      <w:pPr>
        <w:ind w:left="720" w:hanging="360"/>
      </w:pPr>
      <w:rPr>
        <w:rFonts w:ascii="StoneSerif" w:eastAsiaTheme="minorHAnsi" w:hAnsi="StoneSerif" w:cs="StoneSerif" w:hint="default"/>
        <w:color w:val="1B1C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A97C80"/>
    <w:multiLevelType w:val="hybridMultilevel"/>
    <w:tmpl w:val="3C0AA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CF3E68"/>
    <w:multiLevelType w:val="hybridMultilevel"/>
    <w:tmpl w:val="E70E8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6766C4"/>
    <w:multiLevelType w:val="hybridMultilevel"/>
    <w:tmpl w:val="7C7051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D32C03"/>
    <w:multiLevelType w:val="hybridMultilevel"/>
    <w:tmpl w:val="5AE8D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EA2D42"/>
    <w:multiLevelType w:val="hybridMultilevel"/>
    <w:tmpl w:val="1616CB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04328F"/>
    <w:multiLevelType w:val="hybridMultilevel"/>
    <w:tmpl w:val="87008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B1C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F0666D"/>
    <w:multiLevelType w:val="hybridMultilevel"/>
    <w:tmpl w:val="101A24AE"/>
    <w:lvl w:ilvl="0" w:tplc="88EE82A0">
      <w:numFmt w:val="bullet"/>
      <w:lvlText w:val="•"/>
      <w:lvlJc w:val="left"/>
      <w:pPr>
        <w:ind w:left="720" w:hanging="360"/>
      </w:pPr>
      <w:rPr>
        <w:rFonts w:ascii="StoneSerif" w:eastAsiaTheme="minorHAnsi" w:hAnsi="StoneSerif" w:cs="StoneSerif" w:hint="default"/>
        <w:color w:val="1B1C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F32F9F"/>
    <w:multiLevelType w:val="hybridMultilevel"/>
    <w:tmpl w:val="0A641D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E04055"/>
    <w:multiLevelType w:val="hybridMultilevel"/>
    <w:tmpl w:val="A17ECB28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31610183"/>
    <w:multiLevelType w:val="hybridMultilevel"/>
    <w:tmpl w:val="BE683F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8441AE"/>
    <w:multiLevelType w:val="hybridMultilevel"/>
    <w:tmpl w:val="EF52C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31612BD"/>
    <w:multiLevelType w:val="hybridMultilevel"/>
    <w:tmpl w:val="A88EF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4B94B0F"/>
    <w:multiLevelType w:val="hybridMultilevel"/>
    <w:tmpl w:val="08BC4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8A43BC8"/>
    <w:multiLevelType w:val="hybridMultilevel"/>
    <w:tmpl w:val="4162DD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A6A431C"/>
    <w:multiLevelType w:val="hybridMultilevel"/>
    <w:tmpl w:val="2D4E7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F624E30"/>
    <w:multiLevelType w:val="hybridMultilevel"/>
    <w:tmpl w:val="D4123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7B07A8"/>
    <w:multiLevelType w:val="hybridMultilevel"/>
    <w:tmpl w:val="BA806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0C62C9E"/>
    <w:multiLevelType w:val="hybridMultilevel"/>
    <w:tmpl w:val="A6FEE1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E92E64"/>
    <w:multiLevelType w:val="hybridMultilevel"/>
    <w:tmpl w:val="FE360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6D7D6C"/>
    <w:multiLevelType w:val="hybridMultilevel"/>
    <w:tmpl w:val="038E9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642AE1"/>
    <w:multiLevelType w:val="hybridMultilevel"/>
    <w:tmpl w:val="888866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85C255A"/>
    <w:multiLevelType w:val="hybridMultilevel"/>
    <w:tmpl w:val="7436A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E43D62"/>
    <w:multiLevelType w:val="hybridMultilevel"/>
    <w:tmpl w:val="51162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D3E18B0"/>
    <w:multiLevelType w:val="hybridMultilevel"/>
    <w:tmpl w:val="BB7AC4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D533A3E"/>
    <w:multiLevelType w:val="hybridMultilevel"/>
    <w:tmpl w:val="204A23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E5D139C"/>
    <w:multiLevelType w:val="hybridMultilevel"/>
    <w:tmpl w:val="17F43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4847E5"/>
    <w:multiLevelType w:val="hybridMultilevel"/>
    <w:tmpl w:val="9EBAB438"/>
    <w:lvl w:ilvl="0" w:tplc="6D467B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8EFDD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1E66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E01A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A8DC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B43B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9CFF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FAE0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32BF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7">
    <w:nsid w:val="561B0587"/>
    <w:multiLevelType w:val="hybridMultilevel"/>
    <w:tmpl w:val="97AE779A"/>
    <w:lvl w:ilvl="0" w:tplc="D5B05D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0A1FB0">
      <w:start w:val="100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EAF3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AC31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A8A1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6E1A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540B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3EA3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026B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8">
    <w:nsid w:val="58A57D7A"/>
    <w:multiLevelType w:val="hybridMultilevel"/>
    <w:tmpl w:val="1BAAB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9C770BB"/>
    <w:multiLevelType w:val="hybridMultilevel"/>
    <w:tmpl w:val="FC0609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C8F33CF"/>
    <w:multiLevelType w:val="hybridMultilevel"/>
    <w:tmpl w:val="836409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E912DA2"/>
    <w:multiLevelType w:val="hybridMultilevel"/>
    <w:tmpl w:val="24F40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F341365"/>
    <w:multiLevelType w:val="hybridMultilevel"/>
    <w:tmpl w:val="77BE2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2B45D35"/>
    <w:multiLevelType w:val="hybridMultilevel"/>
    <w:tmpl w:val="A1328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2E6649F"/>
    <w:multiLevelType w:val="hybridMultilevel"/>
    <w:tmpl w:val="730ADE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37B2B66"/>
    <w:multiLevelType w:val="hybridMultilevel"/>
    <w:tmpl w:val="99DE51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460081C"/>
    <w:multiLevelType w:val="hybridMultilevel"/>
    <w:tmpl w:val="77940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4986709"/>
    <w:multiLevelType w:val="hybridMultilevel"/>
    <w:tmpl w:val="366641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4E01F43"/>
    <w:multiLevelType w:val="hybridMultilevel"/>
    <w:tmpl w:val="F37461B8"/>
    <w:lvl w:ilvl="0" w:tplc="040C000D">
      <w:start w:val="1"/>
      <w:numFmt w:val="bullet"/>
      <w:lvlText w:val=""/>
      <w:lvlJc w:val="left"/>
      <w:pPr>
        <w:ind w:left="76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9">
    <w:nsid w:val="676E24E0"/>
    <w:multiLevelType w:val="hybridMultilevel"/>
    <w:tmpl w:val="E132C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7EA41CA"/>
    <w:multiLevelType w:val="hybridMultilevel"/>
    <w:tmpl w:val="0BC86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98C72A1"/>
    <w:multiLevelType w:val="hybridMultilevel"/>
    <w:tmpl w:val="C67AC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A4B0066"/>
    <w:multiLevelType w:val="hybridMultilevel"/>
    <w:tmpl w:val="DCE82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B6E308D"/>
    <w:multiLevelType w:val="hybridMultilevel"/>
    <w:tmpl w:val="84DEA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D2330FD"/>
    <w:multiLevelType w:val="hybridMultilevel"/>
    <w:tmpl w:val="6E44C4BC"/>
    <w:lvl w:ilvl="0" w:tplc="88EE82A0">
      <w:numFmt w:val="bullet"/>
      <w:lvlText w:val="•"/>
      <w:lvlJc w:val="left"/>
      <w:pPr>
        <w:ind w:left="720" w:hanging="360"/>
      </w:pPr>
      <w:rPr>
        <w:rFonts w:ascii="StoneSerif" w:eastAsiaTheme="minorHAnsi" w:hAnsi="StoneSerif" w:cs="StoneSerif" w:hint="default"/>
        <w:color w:val="1B1C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DFE6F89"/>
    <w:multiLevelType w:val="hybridMultilevel"/>
    <w:tmpl w:val="B256298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6E562C44"/>
    <w:multiLevelType w:val="hybridMultilevel"/>
    <w:tmpl w:val="FA8EC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E835938"/>
    <w:multiLevelType w:val="hybridMultilevel"/>
    <w:tmpl w:val="270E8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0ED0215"/>
    <w:multiLevelType w:val="hybridMultilevel"/>
    <w:tmpl w:val="332C8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19824FC"/>
    <w:multiLevelType w:val="hybridMultilevel"/>
    <w:tmpl w:val="EFDA2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2E57CFD"/>
    <w:multiLevelType w:val="hybridMultilevel"/>
    <w:tmpl w:val="97729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3AF45D7"/>
    <w:multiLevelType w:val="hybridMultilevel"/>
    <w:tmpl w:val="1D525534"/>
    <w:lvl w:ilvl="0" w:tplc="FC2817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64FF0A">
      <w:start w:val="100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403D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801C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C16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545C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65E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34D9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3289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5824BD6"/>
    <w:multiLevelType w:val="hybridMultilevel"/>
    <w:tmpl w:val="E9E6B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82C78F6"/>
    <w:multiLevelType w:val="hybridMultilevel"/>
    <w:tmpl w:val="6A90A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E500C99"/>
    <w:multiLevelType w:val="hybridMultilevel"/>
    <w:tmpl w:val="7C0A00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FB92454"/>
    <w:multiLevelType w:val="hybridMultilevel"/>
    <w:tmpl w:val="D8C0F6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40"/>
  </w:num>
  <w:num w:numId="3">
    <w:abstractNumId w:val="29"/>
  </w:num>
  <w:num w:numId="4">
    <w:abstractNumId w:val="33"/>
  </w:num>
  <w:num w:numId="5">
    <w:abstractNumId w:val="15"/>
  </w:num>
  <w:num w:numId="6">
    <w:abstractNumId w:val="74"/>
  </w:num>
  <w:num w:numId="7">
    <w:abstractNumId w:val="73"/>
  </w:num>
  <w:num w:numId="8">
    <w:abstractNumId w:val="7"/>
  </w:num>
  <w:num w:numId="9">
    <w:abstractNumId w:val="9"/>
  </w:num>
  <w:num w:numId="10">
    <w:abstractNumId w:val="46"/>
  </w:num>
  <w:num w:numId="11">
    <w:abstractNumId w:val="68"/>
  </w:num>
  <w:num w:numId="12">
    <w:abstractNumId w:val="39"/>
  </w:num>
  <w:num w:numId="13">
    <w:abstractNumId w:val="67"/>
  </w:num>
  <w:num w:numId="14">
    <w:abstractNumId w:val="69"/>
  </w:num>
  <w:num w:numId="15">
    <w:abstractNumId w:val="6"/>
  </w:num>
  <w:num w:numId="16">
    <w:abstractNumId w:val="54"/>
  </w:num>
  <w:num w:numId="17">
    <w:abstractNumId w:val="5"/>
  </w:num>
  <w:num w:numId="18">
    <w:abstractNumId w:val="42"/>
  </w:num>
  <w:num w:numId="19">
    <w:abstractNumId w:val="50"/>
  </w:num>
  <w:num w:numId="20">
    <w:abstractNumId w:val="55"/>
  </w:num>
  <w:num w:numId="21">
    <w:abstractNumId w:val="75"/>
  </w:num>
  <w:num w:numId="22">
    <w:abstractNumId w:val="18"/>
  </w:num>
  <w:num w:numId="23">
    <w:abstractNumId w:val="11"/>
  </w:num>
  <w:num w:numId="24">
    <w:abstractNumId w:val="12"/>
  </w:num>
  <w:num w:numId="25">
    <w:abstractNumId w:val="22"/>
  </w:num>
  <w:num w:numId="26">
    <w:abstractNumId w:val="56"/>
  </w:num>
  <w:num w:numId="27">
    <w:abstractNumId w:val="16"/>
  </w:num>
  <w:num w:numId="28">
    <w:abstractNumId w:val="62"/>
  </w:num>
  <w:num w:numId="29">
    <w:abstractNumId w:val="65"/>
  </w:num>
  <w:num w:numId="30">
    <w:abstractNumId w:val="37"/>
  </w:num>
  <w:num w:numId="31">
    <w:abstractNumId w:val="14"/>
  </w:num>
  <w:num w:numId="32">
    <w:abstractNumId w:val="27"/>
  </w:num>
  <w:num w:numId="33">
    <w:abstractNumId w:val="24"/>
  </w:num>
  <w:num w:numId="34">
    <w:abstractNumId w:val="70"/>
  </w:num>
  <w:num w:numId="35">
    <w:abstractNumId w:val="59"/>
  </w:num>
  <w:num w:numId="36">
    <w:abstractNumId w:val="13"/>
  </w:num>
  <w:num w:numId="37">
    <w:abstractNumId w:val="31"/>
  </w:num>
  <w:num w:numId="38">
    <w:abstractNumId w:val="43"/>
  </w:num>
  <w:num w:numId="39">
    <w:abstractNumId w:val="51"/>
  </w:num>
  <w:num w:numId="40">
    <w:abstractNumId w:val="4"/>
  </w:num>
  <w:num w:numId="41">
    <w:abstractNumId w:val="28"/>
  </w:num>
  <w:num w:numId="42">
    <w:abstractNumId w:val="66"/>
  </w:num>
  <w:num w:numId="43">
    <w:abstractNumId w:val="26"/>
  </w:num>
  <w:num w:numId="44">
    <w:abstractNumId w:val="64"/>
  </w:num>
  <w:num w:numId="45">
    <w:abstractNumId w:val="19"/>
  </w:num>
  <w:num w:numId="46">
    <w:abstractNumId w:val="61"/>
  </w:num>
  <w:num w:numId="47">
    <w:abstractNumId w:val="34"/>
  </w:num>
  <w:num w:numId="48">
    <w:abstractNumId w:val="41"/>
  </w:num>
  <w:num w:numId="49">
    <w:abstractNumId w:val="30"/>
  </w:num>
  <w:num w:numId="50">
    <w:abstractNumId w:val="52"/>
  </w:num>
  <w:num w:numId="51">
    <w:abstractNumId w:val="63"/>
  </w:num>
  <w:num w:numId="52">
    <w:abstractNumId w:val="25"/>
  </w:num>
  <w:num w:numId="53">
    <w:abstractNumId w:val="48"/>
  </w:num>
  <w:num w:numId="54">
    <w:abstractNumId w:val="57"/>
  </w:num>
  <w:num w:numId="55">
    <w:abstractNumId w:val="3"/>
  </w:num>
  <w:num w:numId="56">
    <w:abstractNumId w:val="49"/>
  </w:num>
  <w:num w:numId="57">
    <w:abstractNumId w:val="35"/>
  </w:num>
  <w:num w:numId="58">
    <w:abstractNumId w:val="53"/>
  </w:num>
  <w:num w:numId="59">
    <w:abstractNumId w:val="32"/>
  </w:num>
  <w:num w:numId="60">
    <w:abstractNumId w:val="23"/>
  </w:num>
  <w:num w:numId="61">
    <w:abstractNumId w:val="38"/>
  </w:num>
  <w:num w:numId="62">
    <w:abstractNumId w:val="2"/>
  </w:num>
  <w:num w:numId="63">
    <w:abstractNumId w:val="8"/>
  </w:num>
  <w:num w:numId="64">
    <w:abstractNumId w:val="60"/>
  </w:num>
  <w:num w:numId="65">
    <w:abstractNumId w:val="0"/>
  </w:num>
  <w:num w:numId="66">
    <w:abstractNumId w:val="45"/>
  </w:num>
  <w:num w:numId="67">
    <w:abstractNumId w:val="47"/>
  </w:num>
  <w:num w:numId="68">
    <w:abstractNumId w:val="17"/>
  </w:num>
  <w:num w:numId="69">
    <w:abstractNumId w:val="10"/>
  </w:num>
  <w:num w:numId="70">
    <w:abstractNumId w:val="21"/>
  </w:num>
  <w:num w:numId="71">
    <w:abstractNumId w:val="72"/>
  </w:num>
  <w:num w:numId="72">
    <w:abstractNumId w:val="1"/>
  </w:num>
  <w:num w:numId="73">
    <w:abstractNumId w:val="20"/>
  </w:num>
  <w:num w:numId="74">
    <w:abstractNumId w:val="44"/>
  </w:num>
  <w:num w:numId="75">
    <w:abstractNumId w:val="36"/>
  </w:num>
  <w:num w:numId="76">
    <w:abstractNumId w:val="71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E10"/>
    <w:rsid w:val="00025DA8"/>
    <w:rsid w:val="00037633"/>
    <w:rsid w:val="00072BBB"/>
    <w:rsid w:val="00072CDE"/>
    <w:rsid w:val="000848EE"/>
    <w:rsid w:val="00084D8D"/>
    <w:rsid w:val="000A2ED8"/>
    <w:rsid w:val="000B4B5F"/>
    <w:rsid w:val="000E0CFE"/>
    <w:rsid w:val="00100BDC"/>
    <w:rsid w:val="0012055D"/>
    <w:rsid w:val="00134E8F"/>
    <w:rsid w:val="001704BC"/>
    <w:rsid w:val="001C6AB8"/>
    <w:rsid w:val="001E01D0"/>
    <w:rsid w:val="001E1753"/>
    <w:rsid w:val="00201B72"/>
    <w:rsid w:val="002164C6"/>
    <w:rsid w:val="00257EE3"/>
    <w:rsid w:val="0026081D"/>
    <w:rsid w:val="002D3833"/>
    <w:rsid w:val="00351376"/>
    <w:rsid w:val="0035185C"/>
    <w:rsid w:val="003541B0"/>
    <w:rsid w:val="00372E10"/>
    <w:rsid w:val="003732A8"/>
    <w:rsid w:val="003A2739"/>
    <w:rsid w:val="003B0878"/>
    <w:rsid w:val="003C08C0"/>
    <w:rsid w:val="003C3366"/>
    <w:rsid w:val="00405C71"/>
    <w:rsid w:val="0046720A"/>
    <w:rsid w:val="004B56C0"/>
    <w:rsid w:val="004B6556"/>
    <w:rsid w:val="004C4AC5"/>
    <w:rsid w:val="004E366A"/>
    <w:rsid w:val="004F0100"/>
    <w:rsid w:val="004F0F93"/>
    <w:rsid w:val="004F21FE"/>
    <w:rsid w:val="004F2F12"/>
    <w:rsid w:val="005424A0"/>
    <w:rsid w:val="005466C1"/>
    <w:rsid w:val="00551996"/>
    <w:rsid w:val="005746AC"/>
    <w:rsid w:val="00587D28"/>
    <w:rsid w:val="005B5BE2"/>
    <w:rsid w:val="005E6C00"/>
    <w:rsid w:val="006122AA"/>
    <w:rsid w:val="006345FF"/>
    <w:rsid w:val="00642C4B"/>
    <w:rsid w:val="00652A74"/>
    <w:rsid w:val="0066642B"/>
    <w:rsid w:val="00676BF7"/>
    <w:rsid w:val="006E694C"/>
    <w:rsid w:val="006F4322"/>
    <w:rsid w:val="00721739"/>
    <w:rsid w:val="007264A2"/>
    <w:rsid w:val="007278D8"/>
    <w:rsid w:val="00732AB8"/>
    <w:rsid w:val="007425FA"/>
    <w:rsid w:val="00757447"/>
    <w:rsid w:val="00783379"/>
    <w:rsid w:val="00792338"/>
    <w:rsid w:val="007A5DF3"/>
    <w:rsid w:val="007B70A5"/>
    <w:rsid w:val="007C4301"/>
    <w:rsid w:val="007D6715"/>
    <w:rsid w:val="008034FB"/>
    <w:rsid w:val="00806BC4"/>
    <w:rsid w:val="0089549C"/>
    <w:rsid w:val="008A1FCF"/>
    <w:rsid w:val="008A694C"/>
    <w:rsid w:val="008A6EAC"/>
    <w:rsid w:val="008B5B77"/>
    <w:rsid w:val="008C0C31"/>
    <w:rsid w:val="00900225"/>
    <w:rsid w:val="00900872"/>
    <w:rsid w:val="0091215A"/>
    <w:rsid w:val="00912945"/>
    <w:rsid w:val="0091536F"/>
    <w:rsid w:val="00925A06"/>
    <w:rsid w:val="00971296"/>
    <w:rsid w:val="00997E8B"/>
    <w:rsid w:val="009C4D14"/>
    <w:rsid w:val="00A0089E"/>
    <w:rsid w:val="00A15505"/>
    <w:rsid w:val="00A622A1"/>
    <w:rsid w:val="00AA2E59"/>
    <w:rsid w:val="00AF6E83"/>
    <w:rsid w:val="00B3621F"/>
    <w:rsid w:val="00B431FC"/>
    <w:rsid w:val="00B50BEB"/>
    <w:rsid w:val="00B664E7"/>
    <w:rsid w:val="00B75F10"/>
    <w:rsid w:val="00B91853"/>
    <w:rsid w:val="00BA6260"/>
    <w:rsid w:val="00BE0C88"/>
    <w:rsid w:val="00BE61F5"/>
    <w:rsid w:val="00C02A53"/>
    <w:rsid w:val="00C0368A"/>
    <w:rsid w:val="00C25AFC"/>
    <w:rsid w:val="00C53647"/>
    <w:rsid w:val="00C54E79"/>
    <w:rsid w:val="00C5687E"/>
    <w:rsid w:val="00CA3FF7"/>
    <w:rsid w:val="00CA7CD8"/>
    <w:rsid w:val="00CE352F"/>
    <w:rsid w:val="00D84858"/>
    <w:rsid w:val="00DD7330"/>
    <w:rsid w:val="00E15350"/>
    <w:rsid w:val="00E644D4"/>
    <w:rsid w:val="00E7727F"/>
    <w:rsid w:val="00E933C7"/>
    <w:rsid w:val="00EB2977"/>
    <w:rsid w:val="00EF4D1F"/>
    <w:rsid w:val="00F1326F"/>
    <w:rsid w:val="00F30E4C"/>
    <w:rsid w:val="00F75EC1"/>
    <w:rsid w:val="00F94087"/>
    <w:rsid w:val="00FD3084"/>
    <w:rsid w:val="00FF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2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2C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4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6C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34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345FF"/>
  </w:style>
  <w:style w:type="paragraph" w:styleId="Pieddepage">
    <w:name w:val="footer"/>
    <w:basedOn w:val="Normal"/>
    <w:link w:val="PieddepageCar"/>
    <w:uiPriority w:val="99"/>
    <w:unhideWhenUsed/>
    <w:rsid w:val="00634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4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78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07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88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4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74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30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64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79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1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068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74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3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166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761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98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244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37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98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116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00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314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14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20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30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7402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1664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BECHANE ZAKARIA</dc:creator>
  <cp:lastModifiedBy>Houssem</cp:lastModifiedBy>
  <cp:revision>3</cp:revision>
  <dcterms:created xsi:type="dcterms:W3CDTF">2015-10-12T23:00:00Z</dcterms:created>
  <dcterms:modified xsi:type="dcterms:W3CDTF">2020-03-08T22:26:00Z</dcterms:modified>
</cp:coreProperties>
</file>